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0"/>
        <w:jc w:val="center"/>
        <w:rPr>
          <w:rFonts w:hint="eastAsia" w:asciiTheme="majorEastAsia" w:hAnsiTheme="majorEastAsia" w:eastAsiaTheme="majorEastAsia" w:cstheme="majorEastAsia"/>
          <w:b/>
          <w:bCs/>
          <w:i w:val="0"/>
          <w:caps w:val="0"/>
          <w:color w:val="000000"/>
          <w:spacing w:val="0"/>
          <w:sz w:val="32"/>
          <w:szCs w:val="32"/>
        </w:rPr>
      </w:pPr>
      <w:r>
        <w:rPr>
          <w:rFonts w:hint="eastAsia" w:asciiTheme="majorEastAsia" w:hAnsiTheme="majorEastAsia" w:eastAsiaTheme="majorEastAsia" w:cstheme="majorEastAsia"/>
          <w:b/>
          <w:bCs/>
          <w:i w:val="0"/>
          <w:caps w:val="0"/>
          <w:color w:val="000000"/>
          <w:spacing w:val="0"/>
          <w:sz w:val="32"/>
          <w:szCs w:val="32"/>
        </w:rPr>
        <w:t> 市中区审计局2020年度政府信息公开工作年度报告</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一、总体情况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72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枣庄市市中区审计局认真贯彻落实《中华人民共和国政府信息公开条例》，遵循公正、公平、合法、便民的原则，及时更新和维护本局公开的政府信息，按照条例要求，坚持“公开为原则，不公开为例外”，积极做好各项主动公开工作。</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48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（一）主动公开情况。2020年，枣庄市市中区审计局主动公开政府信息1条。</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48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（二）依申请公开情况。本年度未收到政府信息公开申请；未出现政府信息公开行政复议、行政诉讼情况。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48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三）政府信息管理情况。深入推进依法行政，按照依法治区要求及信息公开保密管理规定，建立健信息公开保密审查机制，严格按照“先审查，后公开”、“一事一审”原则及保密审查的要求，确保信息安全、管理规范。</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二、主动公开政府信息情况</w:t>
      </w:r>
    </w:p>
    <w:tbl>
      <w:tblPr>
        <w:tblW w:w="8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3120"/>
        <w:gridCol w:w="1875"/>
        <w:gridCol w:w="1275"/>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8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本年新</w:t>
            </w:r>
            <w:r>
              <w:rPr>
                <w:rFonts w:hint="eastAsia" w:ascii="宋体" w:hAnsi="宋体" w:eastAsia="宋体" w:cs="宋体"/>
                <w:b w:val="0"/>
                <w:i w:val="0"/>
                <w:caps w:val="0"/>
                <w:color w:val="000000"/>
                <w:spacing w:val="0"/>
                <w:sz w:val="19"/>
                <w:szCs w:val="19"/>
                <w:bdr w:val="none" w:color="auto" w:sz="0" w:space="0"/>
              </w:rPr>
              <w:br w:type="textWrapping"/>
            </w:r>
            <w:r>
              <w:rPr>
                <w:rFonts w:hint="eastAsia" w:ascii="宋体" w:hAnsi="宋体" w:eastAsia="宋体" w:cs="宋体"/>
                <w:b w:val="0"/>
                <w:i w:val="0"/>
                <w:caps w:val="0"/>
                <w:color w:val="000000"/>
                <w:spacing w:val="0"/>
                <w:sz w:val="19"/>
                <w:szCs w:val="19"/>
                <w:bdr w:val="none" w:color="auto" w:sz="0" w:space="0"/>
              </w:rPr>
              <w:t>制作数量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本年新</w:t>
            </w:r>
            <w:r>
              <w:rPr>
                <w:rFonts w:hint="eastAsia" w:ascii="宋体" w:hAnsi="宋体" w:eastAsia="宋体" w:cs="宋体"/>
                <w:b w:val="0"/>
                <w:i w:val="0"/>
                <w:caps w:val="0"/>
                <w:color w:val="000000"/>
                <w:spacing w:val="0"/>
                <w:sz w:val="19"/>
                <w:szCs w:val="19"/>
                <w:bdr w:val="none" w:color="auto" w:sz="0" w:space="0"/>
              </w:rPr>
              <w:br w:type="textWrapping"/>
            </w:r>
            <w:r>
              <w:rPr>
                <w:rFonts w:hint="eastAsia" w:ascii="宋体" w:hAnsi="宋体" w:eastAsia="宋体" w:cs="宋体"/>
                <w:b w:val="0"/>
                <w:i w:val="0"/>
                <w:caps w:val="0"/>
                <w:color w:val="000000"/>
                <w:spacing w:val="0"/>
                <w:sz w:val="19"/>
                <w:szCs w:val="19"/>
                <w:bdr w:val="none" w:color="auto" w:sz="0" w:space="0"/>
              </w:rPr>
              <w:t>公开数量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规章</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6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规范性文件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1</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 1</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行政许可</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其他对外管理服务事项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行政处罚</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行政强制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27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上一年项目数量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行政事业性收费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采购项目数量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4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政府集中采购</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24"/>
                <w:szCs w:val="24"/>
                <w:bdr w:val="none" w:color="auto" w:sz="0" w:space="0"/>
              </w:rPr>
              <w:t>0</w:t>
            </w:r>
          </w:p>
        </w:tc>
      </w:tr>
    </w:tbl>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19"/>
          <w:szCs w:val="19"/>
        </w:rPr>
        <w:t> </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三、收到和处理政府信息公开申请情况</w:t>
      </w:r>
    </w:p>
    <w:tbl>
      <w:tblPr>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15"/>
        <w:gridCol w:w="825"/>
        <w:gridCol w:w="2259"/>
        <w:gridCol w:w="719"/>
        <w:gridCol w:w="749"/>
        <w:gridCol w:w="749"/>
        <w:gridCol w:w="883"/>
        <w:gridCol w:w="898"/>
        <w:gridCol w:w="719"/>
        <w:gridCol w:w="7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699"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（本列数据的勾稽关系为：第一项加第二项之和，等于第三项加第四项之和）</w:t>
            </w:r>
          </w:p>
        </w:tc>
        <w:tc>
          <w:tcPr>
            <w:tcW w:w="5436"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自然人</w:t>
            </w:r>
          </w:p>
        </w:tc>
        <w:tc>
          <w:tcPr>
            <w:tcW w:w="3998"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法人或其他组织</w:t>
            </w:r>
          </w:p>
        </w:tc>
        <w:tc>
          <w:tcPr>
            <w:tcW w:w="719"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商业企业</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科研机构</w:t>
            </w:r>
          </w:p>
        </w:tc>
        <w:tc>
          <w:tcPr>
            <w:tcW w:w="883"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社会公益组织</w:t>
            </w:r>
          </w:p>
        </w:tc>
        <w:tc>
          <w:tcPr>
            <w:tcW w:w="8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法律服务机构</w:t>
            </w:r>
          </w:p>
        </w:tc>
        <w:tc>
          <w:tcPr>
            <w:tcW w:w="71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w:t>
            </w:r>
          </w:p>
        </w:tc>
        <w:tc>
          <w:tcPr>
            <w:tcW w:w="719"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699"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一、本年新收政府信息公开申请数量</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699"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二、上年结转政府信息公开申请数量</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三、本年度办理结果</w:t>
            </w: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ascii="楷体" w:hAnsi="楷体" w:eastAsia="楷体" w:cs="楷体"/>
                <w:b w:val="0"/>
                <w:i w:val="0"/>
                <w:caps w:val="0"/>
                <w:color w:val="000000"/>
                <w:spacing w:val="0"/>
                <w:sz w:val="19"/>
                <w:szCs w:val="19"/>
                <w:bdr w:val="none" w:color="auto" w:sz="0" w:space="0"/>
              </w:rPr>
              <w:t>（一）予以公开</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（二）部分公开（区分处理的，只计这一情形，不计其他情形）</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（三）不予公开</w:t>
            </w: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1.属于国家秘密</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2.其他法律行政法规禁止公开</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3.危及“三安全一稳定”</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4.保护第三方合法权益</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5.属于三类内部事务信息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6.属于四类过程性信息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7.属于行政执法案卷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8.属于行政查询事项</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（四）无法提供</w:t>
            </w: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1.本机关不掌握相关政府信息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2.没有现成信息需要另行制作</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3.补正后申请内容仍不明确</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（五）不予处理</w:t>
            </w: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1.信访举报投诉类申请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2.重复申请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3.要求提供公开出版物</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4.无正当理由大量反复申请</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5.要求行政机关确认或重新出具已获取信息</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（六）其他处理</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b w:val="0"/>
                <w:i w:val="0"/>
                <w:caps w:val="0"/>
                <w:color w:val="000000"/>
                <w:spacing w:val="0"/>
                <w:sz w:val="19"/>
                <w:szCs w:val="19"/>
                <w:bdr w:val="none" w:color="auto" w:sz="0" w:space="0"/>
              </w:rPr>
              <w:t>（七）总计</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Calibri" w:hAnsi="Calibri" w:eastAsia="sans-serif" w:cs="Calibri"/>
                <w:b w:val="0"/>
                <w:i w:val="0"/>
                <w:caps w:val="0"/>
                <w:color w:val="000000"/>
                <w:spacing w:val="0"/>
                <w:sz w:val="19"/>
                <w:szCs w:val="19"/>
                <w:bdr w:val="none" w:color="auto" w:sz="0" w:space="0"/>
              </w:rPr>
              <w:t> </w:t>
            </w:r>
            <w:r>
              <w:rPr>
                <w:rFonts w:hint="eastAsia" w:ascii="宋体" w:hAnsi="宋体" w:eastAsia="宋体" w:cs="宋体"/>
                <w:b w:val="0"/>
                <w:i w:val="0"/>
                <w:caps w:val="0"/>
                <w:color w:val="000000"/>
                <w:spacing w:val="0"/>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3699"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四、结转下年度继续办理</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74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b w:val="0"/>
                <w:i w:val="0"/>
                <w:caps w:val="0"/>
                <w:color w:val="000000"/>
                <w:spacing w:val="0"/>
                <w:sz w:val="19"/>
                <w:szCs w:val="19"/>
                <w:bdr w:val="none" w:color="auto" w:sz="0" w:space="0"/>
              </w:rPr>
              <w:t> 0</w:t>
            </w:r>
          </w:p>
        </w:tc>
        <w:tc>
          <w:tcPr>
            <w:tcW w:w="71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0</w:t>
            </w:r>
            <w:r>
              <w:rPr>
                <w:rFonts w:hint="default" w:ascii="Calibri" w:hAnsi="Calibri" w:eastAsia="sans-serif" w:cs="Calibri"/>
                <w:b w:val="0"/>
                <w:i w:val="0"/>
                <w:caps w:val="0"/>
                <w:color w:val="000000"/>
                <w:spacing w:val="0"/>
                <w:sz w:val="19"/>
                <w:szCs w:val="19"/>
                <w:bdr w:val="none" w:color="auto" w:sz="0" w:space="0"/>
              </w:rPr>
              <w:t> </w:t>
            </w:r>
          </w:p>
        </w:tc>
      </w:tr>
    </w:tbl>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四、政府信息公开行政复议、行政诉讼情况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19"/>
          <w:szCs w:val="19"/>
        </w:rPr>
        <w:t> </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7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c>
          <w:tcPr>
            <w:tcW w:w="297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6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7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default" w:ascii="sans-serif" w:hAnsi="sans-serif" w:eastAsia="sans-serif" w:cs="sans-serif"/>
                <w:b w:val="0"/>
                <w:i w:val="0"/>
                <w:caps w:val="0"/>
                <w:color w:val="000000"/>
                <w:spacing w:val="0"/>
                <w:sz w:val="27"/>
                <w:szCs w:val="27"/>
              </w:rPr>
            </w:pP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结果维持</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尚未审结</w:t>
            </w:r>
          </w:p>
        </w:tc>
        <w:tc>
          <w:tcPr>
            <w:tcW w:w="6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945" w:hRule="atLeast"/>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000000"/>
                <w:spacing w:val="0"/>
                <w:sz w:val="24"/>
                <w:szCs w:val="24"/>
                <w:bdr w:val="none" w:color="auto" w:sz="0" w:space="0"/>
              </w:rPr>
              <w:t>0</w:t>
            </w:r>
          </w:p>
        </w:tc>
      </w:tr>
    </w:tbl>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000000"/>
          <w:spacing w:val="0"/>
          <w:sz w:val="19"/>
          <w:szCs w:val="19"/>
        </w:rPr>
        <w:t> </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五、存在的主要问题及改进情况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48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一是对信息公开重要性的认识还不到位;二是公开的形式和内容还有待于进一步改进和完善，该公开的有的还未完全公开，公开信息</w:t>
      </w:r>
      <w:bookmarkStart w:id="0" w:name="_GoBack"/>
      <w:bookmarkEnd w:id="0"/>
      <w:r>
        <w:rPr>
          <w:rFonts w:hint="eastAsia" w:ascii="仿宋" w:hAnsi="仿宋" w:eastAsia="仿宋" w:cs="仿宋"/>
          <w:b w:val="0"/>
          <w:i w:val="0"/>
          <w:caps w:val="0"/>
          <w:color w:val="000000"/>
          <w:spacing w:val="0"/>
          <w:sz w:val="32"/>
          <w:szCs w:val="32"/>
        </w:rPr>
        <w:t>的质量还有待提高。三是工作中存在的主要问题是人民群众对政务信息公开平台的使用率还不高，适合群众查阅的公开形式不够丰富。  </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48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具体解决的办法和改进措施。随着政府信息公开工作的深入开展以及公民法律和维权意识的不断加强，今后市中区审计局加大主动公开力度，进一步提高信息公开的及时性;进一步梳理完善政府信息公开内容，对原有的政府信息公开目录进行补充完善，保证公开信息的完整性和准确性;加强宣传力度，通过政府门户网站等多种渠道让公众了解审计。严肃认真对待每一件依申请公开，为群众讲政策、解难题，架设百姓与政府沟通的桥。</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六、其他需要报告的事项</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315"/>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无</w:t>
      </w:r>
    </w:p>
    <w:p>
      <w:pPr>
        <w:keepNext w:val="0"/>
        <w:keepLines w:val="0"/>
        <w:pageBreakBefore w:val="0"/>
        <w:kinsoku/>
        <w:overflowPunct/>
        <w:topLinePunct w:val="0"/>
        <w:autoSpaceDE/>
        <w:autoSpaceDN/>
        <w:bidi w:val="0"/>
        <w:adjustRightInd/>
        <w:snapToGrid/>
        <w:spacing w:beforeAutospacing="0" w:afterAutospacing="0" w:line="24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04E722E7"/>
    <w:rsid w:val="070F1631"/>
    <w:rsid w:val="0907227C"/>
    <w:rsid w:val="0A3114CB"/>
    <w:rsid w:val="12D154B6"/>
    <w:rsid w:val="1AE43721"/>
    <w:rsid w:val="1AFC44C7"/>
    <w:rsid w:val="1EC32AB0"/>
    <w:rsid w:val="1F4644CE"/>
    <w:rsid w:val="26F62336"/>
    <w:rsid w:val="2B351CD7"/>
    <w:rsid w:val="3018514E"/>
    <w:rsid w:val="362942AD"/>
    <w:rsid w:val="3CF12A1C"/>
    <w:rsid w:val="3DBC4708"/>
    <w:rsid w:val="3E1772C7"/>
    <w:rsid w:val="42F11408"/>
    <w:rsid w:val="44760B3C"/>
    <w:rsid w:val="477E4980"/>
    <w:rsid w:val="4D582EA5"/>
    <w:rsid w:val="511D6E31"/>
    <w:rsid w:val="516C0CC7"/>
    <w:rsid w:val="58DA34F0"/>
    <w:rsid w:val="6DC41F01"/>
    <w:rsid w:val="7B1258C5"/>
    <w:rsid w:val="7BC90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2021-05-27T00:25:12Z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