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overflowPunct/>
        <w:topLinePunct w:val="0"/>
        <w:autoSpaceDE/>
        <w:autoSpaceDN/>
        <w:bidi w:val="0"/>
        <w:adjustRightInd/>
        <w:snapToGrid/>
        <w:spacing w:before="0" w:beforeAutospacing="0" w:afterAutospacing="0" w:line="240" w:lineRule="auto"/>
        <w:ind w:left="0" w:firstLine="0"/>
        <w:jc w:val="center"/>
        <w:textAlignment w:val="auto"/>
        <w:rPr>
          <w:rFonts w:ascii="sans-serif" w:hAnsi="sans-serif" w:eastAsia="sans-serif" w:cs="sans-serif"/>
          <w:b w:val="0"/>
          <w:i w:val="0"/>
          <w:caps w:val="0"/>
          <w:color w:val="000000"/>
          <w:spacing w:val="0"/>
          <w:sz w:val="32"/>
          <w:szCs w:val="32"/>
        </w:rPr>
      </w:pPr>
      <w:r>
        <w:rPr>
          <w:rFonts w:hint="eastAsia" w:ascii="宋体" w:hAnsi="宋体" w:eastAsia="宋体" w:cs="宋体"/>
          <w:b w:val="0"/>
          <w:i w:val="0"/>
          <w:caps w:val="0"/>
          <w:color w:val="000000"/>
          <w:spacing w:val="0"/>
          <w:sz w:val="32"/>
          <w:szCs w:val="32"/>
        </w:rPr>
        <w:t>市中区人民政府办公室</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0"/>
        <w:jc w:val="center"/>
        <w:textAlignment w:val="auto"/>
        <w:rPr>
          <w:rFonts w:hint="default" w:ascii="sans-serif" w:hAnsi="sans-serif" w:eastAsia="sans-serif" w:cs="sans-serif"/>
          <w:b w:val="0"/>
          <w:i w:val="0"/>
          <w:caps w:val="0"/>
          <w:color w:val="000000"/>
          <w:spacing w:val="0"/>
          <w:sz w:val="32"/>
          <w:szCs w:val="32"/>
        </w:rPr>
      </w:pPr>
      <w:r>
        <w:rPr>
          <w:rFonts w:hint="eastAsia" w:ascii="宋体" w:hAnsi="宋体" w:eastAsia="宋体" w:cs="宋体"/>
          <w:b w:val="0"/>
          <w:i w:val="0"/>
          <w:caps w:val="0"/>
          <w:color w:val="000000"/>
          <w:spacing w:val="0"/>
          <w:sz w:val="32"/>
          <w:szCs w:val="32"/>
        </w:rPr>
        <w:t>2020年度政府信息公开工作年度报告</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根据《中华人民共和国政府信息公开条例》</w:t>
      </w:r>
      <w:r>
        <w:rPr>
          <w:rFonts w:hint="eastAsia" w:ascii="仿宋_GB2312" w:hAnsi="仿宋_GB2312" w:eastAsia="仿宋_GB2312" w:cs="仿宋_GB2312"/>
          <w:b w:val="0"/>
          <w:i w:val="0"/>
          <w:caps w:val="0"/>
          <w:color w:val="000000"/>
          <w:spacing w:val="0"/>
          <w:sz w:val="32"/>
          <w:szCs w:val="32"/>
          <w:lang w:eastAsia="zh-CN"/>
        </w:rPr>
        <w:t>、</w:t>
      </w:r>
      <w:r>
        <w:rPr>
          <w:rFonts w:hint="eastAsia" w:ascii="仿宋_GB2312" w:hAnsi="仿宋_GB2312" w:eastAsia="仿宋_GB2312" w:cs="仿宋_GB2312"/>
          <w:b w:val="0"/>
          <w:i w:val="0"/>
          <w:caps w:val="0"/>
          <w:color w:val="000000"/>
          <w:spacing w:val="0"/>
          <w:sz w:val="32"/>
          <w:szCs w:val="32"/>
        </w:rPr>
        <w:t>《山东省政府信息公开办法》》和市政府办公室《关于做好2020年政府信息公开工作年度报告编制和发布工作的通知》要求，现将市中区人民政府办公室2020年度政府信息公开工作进行总结报告。    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一、总体情况    </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2020年，市中区人民政府办公室坚持以习近平新时代中国特色社会主义思想为指导，深入贯彻党的十九大和十九届二中、三中、四中、五中全会精神，严格落实国家</w:t>
      </w:r>
      <w:r>
        <w:rPr>
          <w:rFonts w:hint="eastAsia" w:ascii="仿宋_GB2312" w:hAnsi="仿宋_GB2312" w:eastAsia="仿宋_GB2312" w:cs="仿宋_GB2312"/>
          <w:b w:val="0"/>
          <w:i w:val="0"/>
          <w:caps w:val="0"/>
          <w:color w:val="000000"/>
          <w:spacing w:val="0"/>
          <w:sz w:val="32"/>
          <w:szCs w:val="32"/>
          <w:lang w:eastAsia="zh-CN"/>
        </w:rPr>
        <w:t>、</w:t>
      </w:r>
      <w:r>
        <w:rPr>
          <w:rFonts w:hint="eastAsia" w:ascii="仿宋_GB2312" w:hAnsi="仿宋_GB2312" w:eastAsia="仿宋_GB2312" w:cs="仿宋_GB2312"/>
          <w:b w:val="0"/>
          <w:i w:val="0"/>
          <w:caps w:val="0"/>
          <w:color w:val="000000"/>
          <w:spacing w:val="0"/>
          <w:sz w:val="32"/>
          <w:szCs w:val="32"/>
        </w:rPr>
        <w:t>省</w:t>
      </w:r>
      <w:r>
        <w:rPr>
          <w:rFonts w:hint="eastAsia" w:ascii="仿宋_GB2312" w:hAnsi="仿宋_GB2312" w:eastAsia="仿宋_GB2312" w:cs="仿宋_GB2312"/>
          <w:b w:val="0"/>
          <w:i w:val="0"/>
          <w:caps w:val="0"/>
          <w:color w:val="000000"/>
          <w:spacing w:val="0"/>
          <w:sz w:val="32"/>
          <w:szCs w:val="32"/>
          <w:lang w:eastAsia="zh-CN"/>
        </w:rPr>
        <w:t>、</w:t>
      </w:r>
      <w:r>
        <w:rPr>
          <w:rFonts w:hint="eastAsia" w:ascii="仿宋_GB2312" w:hAnsi="仿宋_GB2312" w:eastAsia="仿宋_GB2312" w:cs="仿宋_GB2312"/>
          <w:b w:val="0"/>
          <w:i w:val="0"/>
          <w:caps w:val="0"/>
          <w:color w:val="000000"/>
          <w:spacing w:val="0"/>
          <w:sz w:val="32"/>
          <w:szCs w:val="32"/>
        </w:rPr>
        <w:t>市关于全面推进政务公开工作的部署，全面落实新修订的《中华人民共和国政府信息公开条例》要求，围绕区委区政府中心工作，不断提高政府工作透明度，切实提升人民群众的获得感和满意度。</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Style w:val="5"/>
          <w:rFonts w:hint="eastAsia" w:ascii="仿宋_GB2312" w:hAnsi="仿宋_GB2312" w:eastAsia="仿宋_GB2312" w:cs="仿宋_GB2312"/>
          <w:i w:val="0"/>
          <w:caps w:val="0"/>
          <w:color w:val="000000"/>
          <w:spacing w:val="0"/>
          <w:sz w:val="32"/>
          <w:szCs w:val="32"/>
        </w:rPr>
        <w:t>1.规范决策公开</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完善重大决策预公开、会议公开、政策解读等机制，推进重大决策全过程公开，凡涉及个人或组织的重大利益以及有重大社会影响的事项，均通过意见征集专栏向社会公众公开征集意见。预公开内容包括：决策公告、决策草案、决策背景及决策依据，意见征集结束后，及时公开意见征集结果反馈。全年共开展意见征集11期，收集意见22条。</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常态化落实利益相关方列席政府常务会议制度，邀请人大代表、政协委员、企业负责人、群众代表等利益相关方列席区政府常务会议，参与城区道路改造、农村改厕、优化营商环境建设等多个公众关切议题的决策。</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做好政策解读工作，精准传递政策意图。严格落实解读材料和政策文件“同步起草、同步审批、同步发布”（三同步）工作制度，采取主要负责人解读、文字解读、图文解读、音视频解读等多种形式的解读，重点阐明了政策措施的背景依据、目标任务、主要内容、制度保障等，确保社会公众读得懂、能理解。全年共通过政策解读平台发布各类政策解读共计35件。</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Style w:val="5"/>
          <w:rFonts w:hint="eastAsia" w:ascii="仿宋_GB2312" w:hAnsi="仿宋_GB2312" w:eastAsia="仿宋_GB2312" w:cs="仿宋_GB2312"/>
          <w:i w:val="0"/>
          <w:caps w:val="0"/>
          <w:color w:val="000000"/>
          <w:spacing w:val="0"/>
          <w:sz w:val="32"/>
          <w:szCs w:val="32"/>
        </w:rPr>
        <w:t>2.落实执行和结果公开</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做好重大部署推进公开。集中展示市中区落实国家省市重大决策部署、政府工作报告、年度重点工作、民生实事项目的进展情况、成效举措、督查整改及执行评估情况，方便公众监督和查阅。重点公开执行措施、实施步骤、责任分工、监督方式，并按季度跟进工作推进情况及时公开工作进展、取得成效、后续举措等信息。</w:t>
      </w:r>
    </w:p>
    <w:p>
      <w:pPr>
        <w:pStyle w:val="2"/>
        <w:keepNext w:val="0"/>
        <w:keepLines w:val="0"/>
        <w:pageBreakBefore w:val="0"/>
        <w:widowControl/>
        <w:numPr>
          <w:ilvl w:val="0"/>
          <w:numId w:val="1"/>
        </w:numPr>
        <w:suppressLineNumbers w:val="0"/>
        <w:kinsoku/>
        <w:overflowPunct/>
        <w:topLinePunct w:val="0"/>
        <w:autoSpaceDE/>
        <w:autoSpaceDN/>
        <w:bidi w:val="0"/>
        <w:adjustRightInd/>
        <w:snapToGrid/>
        <w:spacing w:beforeAutospacing="0" w:afterAutospacing="0" w:line="240" w:lineRule="auto"/>
        <w:ind w:left="0" w:firstLine="645"/>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主动公开政府信息情况</w:t>
      </w:r>
    </w:p>
    <w:p>
      <w:pPr>
        <w:pStyle w:val="2"/>
        <w:keepNext w:val="0"/>
        <w:keepLines w:val="0"/>
        <w:pageBreakBefore w:val="0"/>
        <w:widowControl/>
        <w:numPr>
          <w:numId w:val="0"/>
        </w:numPr>
        <w:suppressLineNumbers w:val="0"/>
        <w:kinsoku/>
        <w:overflowPunct/>
        <w:topLinePunct w:val="0"/>
        <w:autoSpaceDE/>
        <w:autoSpaceDN/>
        <w:bidi w:val="0"/>
        <w:adjustRightInd/>
        <w:snapToGrid/>
        <w:spacing w:beforeAutospacing="0" w:afterAutospacing="0" w:line="240" w:lineRule="auto"/>
        <w:ind w:left="645" w:leftChars="0" w:right="0" w:rightChars="0"/>
        <w:textAlignment w:val="auto"/>
        <w:rPr>
          <w:rFonts w:hint="eastAsia" w:ascii="仿宋_GB2312" w:hAnsi="仿宋_GB2312" w:eastAsia="仿宋_GB2312" w:cs="仿宋_GB2312"/>
          <w:b w:val="0"/>
          <w:i w:val="0"/>
          <w:caps w:val="0"/>
          <w:color w:val="000000"/>
          <w:spacing w:val="0"/>
          <w:sz w:val="32"/>
          <w:szCs w:val="32"/>
          <w:lang w:val="en-US" w:eastAsia="zh-CN"/>
        </w:rPr>
      </w:pPr>
      <w:r>
        <w:rPr>
          <w:rFonts w:hint="eastAsia" w:ascii="仿宋_GB2312" w:hAnsi="仿宋_GB2312" w:eastAsia="仿宋_GB2312" w:cs="仿宋_GB2312"/>
          <w:b w:val="0"/>
          <w:i w:val="0"/>
          <w:caps w:val="0"/>
          <w:color w:val="000000"/>
          <w:spacing w:val="0"/>
          <w:sz w:val="32"/>
          <w:szCs w:val="32"/>
          <w:lang w:val="en-US" w:eastAsia="zh-CN"/>
        </w:rPr>
        <w:t>本年度新制作规范性文件3件，公开3件。</w:t>
      </w:r>
    </w:p>
    <w:p>
      <w:pPr>
        <w:pStyle w:val="2"/>
        <w:keepNext w:val="0"/>
        <w:keepLines w:val="0"/>
        <w:pageBreakBefore w:val="0"/>
        <w:widowControl/>
        <w:numPr>
          <w:ilvl w:val="0"/>
          <w:numId w:val="1"/>
        </w:numPr>
        <w:suppressLineNumbers w:val="0"/>
        <w:kinsoku/>
        <w:overflowPunct/>
        <w:topLinePunct w:val="0"/>
        <w:autoSpaceDE/>
        <w:autoSpaceDN/>
        <w:bidi w:val="0"/>
        <w:adjustRightInd/>
        <w:snapToGrid/>
        <w:spacing w:beforeAutospacing="0" w:afterAutospacing="0" w:line="240" w:lineRule="auto"/>
        <w:ind w:left="0" w:leftChars="0" w:firstLine="645" w:firstLineChars="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收到和处理政府信息公开申请情况</w:t>
      </w:r>
    </w:p>
    <w:p>
      <w:pPr>
        <w:pStyle w:val="2"/>
        <w:keepNext w:val="0"/>
        <w:keepLines w:val="0"/>
        <w:pageBreakBefore w:val="0"/>
        <w:widowControl/>
        <w:numPr>
          <w:numId w:val="0"/>
        </w:numPr>
        <w:suppressLineNumbers w:val="0"/>
        <w:kinsoku/>
        <w:overflowPunct/>
        <w:topLinePunct w:val="0"/>
        <w:autoSpaceDE/>
        <w:autoSpaceDN/>
        <w:bidi w:val="0"/>
        <w:adjustRightInd/>
        <w:snapToGrid/>
        <w:spacing w:beforeAutospacing="0" w:afterAutospacing="0" w:line="240" w:lineRule="auto"/>
        <w:ind w:right="0" w:rightChars="0" w:firstLine="640" w:firstLineChars="200"/>
        <w:textAlignment w:val="auto"/>
        <w:rPr>
          <w:rFonts w:hint="eastAsia" w:ascii="仿宋_GB2312" w:hAnsi="仿宋_GB2312" w:eastAsia="仿宋_GB2312" w:cs="仿宋_GB2312"/>
          <w:b w:val="0"/>
          <w:i w:val="0"/>
          <w:caps w:val="0"/>
          <w:color w:val="000000"/>
          <w:spacing w:val="0"/>
          <w:sz w:val="32"/>
          <w:szCs w:val="32"/>
          <w:lang w:val="en-US" w:eastAsia="zh-CN"/>
        </w:rPr>
      </w:pPr>
      <w:r>
        <w:rPr>
          <w:rFonts w:hint="eastAsia" w:ascii="仿宋_GB2312" w:hAnsi="仿宋_GB2312" w:eastAsia="仿宋_GB2312" w:cs="仿宋_GB2312"/>
          <w:b w:val="0"/>
          <w:i w:val="0"/>
          <w:caps w:val="0"/>
          <w:color w:val="000000"/>
          <w:spacing w:val="0"/>
          <w:sz w:val="32"/>
          <w:szCs w:val="32"/>
          <w:lang w:val="en-US" w:eastAsia="zh-CN"/>
        </w:rPr>
        <w:t>本年度共收到依申请公开29件，其中予以公开8件，部分公开4件，不予公开1件，无法提供12件，其它处理3件。</w:t>
      </w:r>
    </w:p>
    <w:p>
      <w:pPr>
        <w:pStyle w:val="2"/>
        <w:keepNext w:val="0"/>
        <w:keepLines w:val="0"/>
        <w:pageBreakBefore w:val="0"/>
        <w:widowControl/>
        <w:numPr>
          <w:ilvl w:val="0"/>
          <w:numId w:val="1"/>
        </w:numPr>
        <w:suppressLineNumbers w:val="0"/>
        <w:kinsoku/>
        <w:overflowPunct/>
        <w:topLinePunct w:val="0"/>
        <w:autoSpaceDE/>
        <w:autoSpaceDN/>
        <w:bidi w:val="0"/>
        <w:adjustRightInd/>
        <w:snapToGrid/>
        <w:spacing w:beforeAutospacing="0" w:afterAutospacing="0" w:line="240" w:lineRule="auto"/>
        <w:ind w:left="0" w:leftChars="0" w:firstLine="645" w:firstLineChars="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政府信息公开行政复议、行政诉讼情况</w:t>
      </w:r>
    </w:p>
    <w:p>
      <w:pPr>
        <w:pStyle w:val="2"/>
        <w:keepNext w:val="0"/>
        <w:keepLines w:val="0"/>
        <w:pageBreakBefore w:val="0"/>
        <w:widowControl/>
        <w:numPr>
          <w:numId w:val="0"/>
        </w:numPr>
        <w:suppressLineNumbers w:val="0"/>
        <w:kinsoku/>
        <w:overflowPunct/>
        <w:topLinePunct w:val="0"/>
        <w:autoSpaceDE/>
        <w:autoSpaceDN/>
        <w:bidi w:val="0"/>
        <w:adjustRightInd/>
        <w:snapToGrid/>
        <w:spacing w:beforeAutospacing="0" w:afterAutospacing="0" w:line="240" w:lineRule="auto"/>
        <w:ind w:left="645" w:leftChars="0" w:right="0" w:rightChars="0"/>
        <w:textAlignment w:val="auto"/>
        <w:rPr>
          <w:rFonts w:hint="eastAsia" w:ascii="仿宋_GB2312" w:hAnsi="仿宋_GB2312" w:eastAsia="仿宋_GB2312" w:cs="仿宋_GB2312"/>
          <w:b w:val="0"/>
          <w:i w:val="0"/>
          <w:caps w:val="0"/>
          <w:color w:val="000000"/>
          <w:spacing w:val="0"/>
          <w:sz w:val="32"/>
          <w:szCs w:val="32"/>
          <w:lang w:val="en-US" w:eastAsia="zh-CN"/>
        </w:rPr>
      </w:pPr>
      <w:r>
        <w:rPr>
          <w:rFonts w:hint="eastAsia" w:ascii="仿宋_GB2312" w:hAnsi="仿宋_GB2312" w:eastAsia="仿宋_GB2312" w:cs="仿宋_GB2312"/>
          <w:b w:val="0"/>
          <w:i w:val="0"/>
          <w:caps w:val="0"/>
          <w:color w:val="000000"/>
          <w:spacing w:val="0"/>
          <w:sz w:val="32"/>
          <w:szCs w:val="32"/>
          <w:lang w:val="en-US" w:eastAsia="zh-CN"/>
        </w:rPr>
        <w:t>行政复议后起诉1件，结果维持1件。</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五、存在的主要问题及改进情况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（一）存在问题</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一是专业领域的理论学习仍需加强，提升对《条例》新内容的准确把握；二是决策公开仍需进一步加强，公众参与具体举措需进一步细化完善；三是政策解读方式不够多元，精准解读效果仍需提高。</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（二）改进情况</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0" w:firstLine="645"/>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一是深入做好《条例》的贯彻落实。二是深化公众参与。三是着力提升平台渠道管理和服务水平。四是进一步深化解读回应。</w:t>
      </w:r>
      <w:bookmarkStart w:id="0" w:name="_GoBack"/>
      <w:bookmarkEnd w:id="0"/>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六、其他需要报告的事项</w:t>
      </w:r>
    </w:p>
    <w:p>
      <w:pPr>
        <w:pStyle w:val="2"/>
        <w:keepNext w:val="0"/>
        <w:keepLines w:val="0"/>
        <w:pageBreakBefore w:val="0"/>
        <w:widowControl/>
        <w:suppressLineNumbers w:val="0"/>
        <w:kinsoku/>
        <w:overflowPunct/>
        <w:topLinePunct w:val="0"/>
        <w:autoSpaceDE/>
        <w:autoSpaceDN/>
        <w:bidi w:val="0"/>
        <w:adjustRightInd/>
        <w:snapToGrid/>
        <w:spacing w:beforeAutospacing="0" w:afterAutospacing="0" w:line="240" w:lineRule="auto"/>
        <w:ind w:left="645" w:firstLine="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无。</w:t>
      </w:r>
    </w:p>
    <w:p>
      <w:pPr>
        <w:pStyle w:val="2"/>
        <w:keepNext w:val="0"/>
        <w:keepLines w:val="0"/>
        <w:widowControl/>
        <w:suppressLineNumbers w:val="0"/>
        <w:spacing w:line="315" w:lineRule="atLeast"/>
        <w:ind w:left="645" w:firstLine="0"/>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 </w:t>
      </w:r>
    </w:p>
    <w:p>
      <w:pPr>
        <w:keepNext w:val="0"/>
        <w:keepLines w:val="0"/>
        <w:pageBreakBefore w:val="0"/>
        <w:widowControl w:val="0"/>
        <w:kinsoku/>
        <w:wordWrap/>
        <w:overflowPunct/>
        <w:topLinePunct w:val="0"/>
        <w:autoSpaceDE/>
        <w:autoSpaceDN/>
        <w:bidi w:val="0"/>
        <w:adjustRightInd/>
        <w:snapToGrid/>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131C31"/>
    <w:multiLevelType w:val="singleLevel"/>
    <w:tmpl w:val="80131C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5B3686"/>
    <w:rsid w:val="4F1C3103"/>
    <w:rsid w:val="5B5B3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2021-05-18T02:57:00Z</dcterms:created>
  <dc:creator>lenovo</dc:creator>
  <cp:lastModifiedBy>lenovo</cp:lastModifiedBy>
  <dcterms:modified xsi:type="dcterms:W3CDTF">2021-05-18T03:08:16Z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