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olor w:val="auto"/>
          <w:sz w:val="44"/>
          <w:szCs w:val="44"/>
          <w:lang w:val="en-US" w:eastAsia="zh-CN"/>
        </w:rPr>
      </w:pPr>
    </w:p>
    <w:p>
      <w:pPr>
        <w:jc w:val="center"/>
        <w:rPr>
          <w:rFonts w:hint="default" w:ascii="方正小标宋简体" w:eastAsia="方正小标宋简体"/>
          <w:color w:val="auto"/>
          <w:sz w:val="44"/>
          <w:szCs w:val="44"/>
          <w:lang w:val="en-US" w:eastAsia="zh-CN"/>
        </w:rPr>
      </w:pPr>
      <w:r>
        <w:rPr>
          <w:rFonts w:hint="eastAsia" w:ascii="方正小标宋简体" w:hAnsi="方正小标宋简体" w:eastAsia="方正小标宋简体"/>
          <w:color w:val="auto"/>
          <w:sz w:val="44"/>
          <w:szCs w:val="44"/>
          <w:lang w:val="en-US" w:eastAsia="zh-CN"/>
        </w:rPr>
        <w:t>枣庄市市中区司法局</w:t>
      </w:r>
    </w:p>
    <w:p>
      <w:pPr>
        <w:jc w:val="center"/>
        <w:rPr>
          <w:rFonts w:hint="eastAsia" w:ascii="方正小标宋简体" w:eastAsia="方正小标宋简体"/>
          <w:color w:val="auto"/>
          <w:sz w:val="44"/>
          <w:szCs w:val="44"/>
          <w:lang w:eastAsia="zh-CN"/>
        </w:rPr>
      </w:pPr>
      <w:r>
        <w:rPr>
          <w:rFonts w:hint="eastAsia" w:ascii="方正小标宋简体" w:eastAsia="方正小标宋简体"/>
          <w:color w:val="auto"/>
          <w:sz w:val="44"/>
          <w:szCs w:val="44"/>
          <w:lang w:eastAsia="zh-CN"/>
        </w:rPr>
        <w:t>202</w:t>
      </w:r>
      <w:r>
        <w:rPr>
          <w:rFonts w:hint="eastAsia" w:ascii="方正小标宋简体" w:eastAsia="方正小标宋简体"/>
          <w:color w:val="auto"/>
          <w:sz w:val="44"/>
          <w:szCs w:val="44"/>
          <w:lang w:val="en-US" w:eastAsia="zh-CN"/>
        </w:rPr>
        <w:t>1</w:t>
      </w:r>
      <w:r>
        <w:rPr>
          <w:rFonts w:hint="eastAsia" w:ascii="方正小标宋简体" w:hAnsi="方正小标宋简体" w:eastAsia="方正小标宋简体"/>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根据《中华人民共和国政府信息公开条例》、《</w:t>
      </w:r>
      <w:r>
        <w:rPr>
          <w:rFonts w:hint="eastAsia" w:eastAsia="仿宋_GB2312"/>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color w:val="auto"/>
          <w:sz w:val="32"/>
          <w:szCs w:val="32"/>
          <w:shd w:val="clear" w:color="auto" w:fill="FFFFFF"/>
          <w:lang w:eastAsia="zh-CN"/>
        </w:rPr>
        <w:t>》（国办公开办函〔20</w:t>
      </w:r>
      <w:r>
        <w:rPr>
          <w:rFonts w:hint="eastAsia" w:eastAsia="仿宋_GB2312"/>
          <w:color w:val="auto"/>
          <w:sz w:val="32"/>
          <w:szCs w:val="32"/>
          <w:shd w:val="clear" w:color="auto" w:fill="FFFFFF"/>
          <w:lang w:val="en-US" w:eastAsia="zh-CN"/>
        </w:rPr>
        <w:t>21</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val="en-US" w:eastAsia="zh-CN"/>
        </w:rPr>
        <w:t>市</w:t>
      </w:r>
      <w:r>
        <w:rPr>
          <w:rFonts w:eastAsia="仿宋_GB2312"/>
          <w:color w:val="auto"/>
          <w:sz w:val="32"/>
          <w:szCs w:val="32"/>
          <w:shd w:val="clear" w:color="auto" w:fill="FFFFFF"/>
          <w:lang w:eastAsia="zh-CN"/>
        </w:rPr>
        <w:t>有关工作要求，编制本报告并向社会公开。本年度报告电子版可从</w:t>
      </w:r>
      <w:r>
        <w:rPr>
          <w:rFonts w:hint="eastAsia" w:eastAsia="仿宋_GB2312"/>
          <w:color w:val="auto"/>
          <w:sz w:val="32"/>
          <w:szCs w:val="32"/>
          <w:shd w:val="clear" w:color="auto" w:fill="FFFFFF"/>
          <w:lang w:val="en-US" w:eastAsia="zh-CN"/>
        </w:rPr>
        <w:t>市中区</w:t>
      </w:r>
      <w:r>
        <w:rPr>
          <w:rFonts w:eastAsia="仿宋_GB2312"/>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eastAsia="仿宋_GB2312"/>
          <w:color w:val="auto"/>
          <w:sz w:val="32"/>
          <w:szCs w:val="32"/>
          <w:shd w:val="clear" w:color="auto" w:fill="FFFFFF"/>
          <w:lang w:eastAsia="zh-CN"/>
        </w:rPr>
        <w:t>）查阅或下载。本报告所列数据的统计</w:t>
      </w:r>
      <w:r>
        <w:rPr>
          <w:rFonts w:hint="eastAsia" w:eastAsia="仿宋_GB2312"/>
          <w:color w:val="auto"/>
          <w:sz w:val="32"/>
          <w:szCs w:val="32"/>
          <w:shd w:val="clear" w:color="auto" w:fill="FFFFFF"/>
          <w:lang w:val="en-US" w:eastAsia="zh-CN"/>
        </w:rPr>
        <w:t>期</w:t>
      </w:r>
      <w:r>
        <w:rPr>
          <w:rFonts w:eastAsia="仿宋_GB2312"/>
          <w:color w:val="auto"/>
          <w:sz w:val="32"/>
          <w:szCs w:val="32"/>
          <w:shd w:val="clear" w:color="auto" w:fill="FFFFFF"/>
          <w:lang w:eastAsia="zh-CN"/>
        </w:rPr>
        <w:t>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市中区司法局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枣庄市市中区龙头中路31号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0632-3281128</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szqsfjadmin@zz.shandong.cn</w:t>
      </w:r>
      <w:r>
        <w:rPr>
          <w:rFonts w:eastAsia="仿宋_GB2312"/>
          <w:color w:val="auto"/>
          <w:sz w:val="32"/>
          <w:szCs w:val="32"/>
          <w:shd w:val="clear" w:color="auto" w:fill="FFFFFF"/>
          <w:lang w:eastAsia="zh-CN"/>
        </w:rPr>
        <w:t>）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shd w:val="clear" w:color="auto" w:fill="FFFFFF"/>
          <w:lang w:eastAsia="zh-CN"/>
        </w:rPr>
      </w:pPr>
      <w:r>
        <w:rPr>
          <w:rFonts w:eastAsia="黑体"/>
          <w:color w:val="auto"/>
          <w:sz w:val="32"/>
          <w:szCs w:val="32"/>
          <w:shd w:val="clear" w:color="auto" w:fill="FFFFFF"/>
          <w:lang w:eastAsia="zh-CN"/>
        </w:rPr>
        <w:t>—</w:t>
      </w:r>
      <w:r>
        <w:rPr>
          <w:rFonts w:hAnsi="黑体" w:eastAsia="黑体"/>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2021年，市中区司法局认真贯彻落实党中央、国务院和省、市、区关于政府信息公开工作的统一部署要求，完善政务信息公开指南和目录，加强政务信息公开载体建设，不断健全完善政务信息公开工作制度，认真做好政府信息公开的各项工作，政府信息公开工作力度和实效实现新的突破。不断强化责任担当，以公开促落实，以公开促规范，以公开促服务，有力辅助和促进其他工作的开展，切实保障了人民群众的知情权、参与权、监督权和表达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（一）主动公开情况</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240" w:lineRule="auto"/>
        <w:jc w:val="both"/>
        <w:textAlignment w:val="auto"/>
        <w:rPr>
          <w:rFonts w:hint="default"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hAnsi="黑体" w:eastAsia="黑体"/>
          <w:bCs/>
          <w:color w:val="auto"/>
          <w:sz w:val="32"/>
          <w:szCs w:val="32"/>
          <w:lang w:val="en-US" w:eastAsia="zh-CN"/>
        </w:rPr>
        <w:t xml:space="preserve">  </w:t>
      </w:r>
      <w:r>
        <w:rPr>
          <w:rFonts w:hint="eastAsia" w:ascii="仿宋_GB2312" w:hAnsi="仿宋_GB2312" w:eastAsia="仿宋_GB2312" w:cs="仿宋_GB2312"/>
          <w:bCs/>
          <w:color w:val="C00000"/>
          <w:sz w:val="32"/>
          <w:szCs w:val="32"/>
          <w:lang w:val="en-US" w:eastAsia="zh-CN"/>
        </w:rPr>
        <w:t xml:space="preserve"> </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主动公开信息173条，其中在政府门户网站公开75条，政务新媒体公开96条，其他渠道公开2条。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Ansi="黑体" w:eastAsia="黑体"/>
          <w:bCs/>
          <w:color w:val="auto"/>
          <w:sz w:val="32"/>
          <w:szCs w:val="32"/>
          <w:lang w:eastAsia="zh-CN"/>
        </w:rPr>
        <w:t>（二）依申请公开办理情况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共受理政府信息公开申请</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lang w:eastAsia="zh-CN"/>
        </w:rPr>
        <w:t>件，其中予以公开申请</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lang w:eastAsia="zh-CN"/>
        </w:rPr>
        <w:t>件，部分公开</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件，不予公开件，无法提供</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件，不予处理</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件，均在法定期限内予以答复。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auto"/>
          <w:sz w:val="32"/>
          <w:szCs w:val="32"/>
          <w:lang w:eastAsia="zh-CN"/>
        </w:rPr>
      </w:pPr>
      <w:r>
        <w:rPr>
          <w:rFonts w:hint="eastAsia" w:ascii="仿宋_GB2312" w:eastAsia="仿宋_GB2312"/>
          <w:color w:val="auto"/>
          <w:sz w:val="32"/>
          <w:szCs w:val="32"/>
          <w:shd w:val="clear" w:color="auto" w:fill="FFFFFF"/>
          <w:lang w:eastAsia="zh-CN"/>
        </w:rPr>
        <w:t>因政府信息公开被申请行政复议</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lang w:eastAsia="zh-CN"/>
        </w:rPr>
        <w:t>件，因公民、法人和其他组织认为行政机关政府信息公开工作具体行政行为侵犯其合法权益，提起行政诉讼</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lang w:eastAsia="zh-CN"/>
        </w:rPr>
        <w:t>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hAnsi="黑体" w:eastAsia="黑体"/>
          <w:bCs/>
          <w:color w:val="auto"/>
          <w:sz w:val="32"/>
          <w:szCs w:val="32"/>
          <w:lang w:eastAsia="zh-CN"/>
        </w:rPr>
        <w:t>（三）政府信息管理情况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b w:val="0"/>
          <w:bCs w:val="0"/>
          <w:color w:val="000000" w:themeColor="text1"/>
          <w:sz w:val="32"/>
          <w:szCs w:val="32"/>
          <w:shd w:val="clear" w:color="auto" w:fill="FFFFFF"/>
          <w:lang w:eastAsia="zh-CN"/>
          <w14:textFill>
            <w14:solidFill>
              <w14:schemeClr w14:val="tx1"/>
            </w14:solidFill>
          </w14:textFill>
        </w:rPr>
      </w:pPr>
      <w:r>
        <w:rPr>
          <w:rFonts w:hint="eastAsia" w:eastAsia="仿宋_GB2312"/>
          <w:color w:val="000000" w:themeColor="text1"/>
          <w:sz w:val="32"/>
          <w:szCs w:val="32"/>
          <w:shd w:val="clear" w:color="auto" w:fill="FFFFFF"/>
          <w:lang w:eastAsia="zh-CN"/>
          <w14:textFill>
            <w14:solidFill>
              <w14:schemeClr w14:val="tx1"/>
            </w14:solidFill>
          </w14:textFill>
        </w:rPr>
        <w:t>一是严格做好公开信息保密审查。认真落实《中华人民共和国保守国</w:t>
      </w:r>
      <w:r>
        <w:rPr>
          <w:rFonts w:hint="eastAsia" w:eastAsia="仿宋_GB2312"/>
          <w:b w:val="0"/>
          <w:bCs w:val="0"/>
          <w:color w:val="000000" w:themeColor="text1"/>
          <w:sz w:val="32"/>
          <w:szCs w:val="32"/>
          <w:shd w:val="clear" w:color="auto" w:fill="FFFFFF"/>
          <w:lang w:eastAsia="zh-CN"/>
          <w14:textFill>
            <w14:solidFill>
              <w14:schemeClr w14:val="tx1"/>
            </w14:solidFill>
          </w14:textFill>
        </w:rPr>
        <w:t>家秘密法》《中华人民共和国政府信息公开条例》等规定，明确审查职责，严格规范保密审查程序，将保密审查程序与公文流转程序、信息发布程序结合起来，防止保密审查和信息发布脱节。</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b w:val="0"/>
          <w:bCs w:val="0"/>
          <w:color w:val="000000" w:themeColor="text1"/>
          <w:sz w:val="32"/>
          <w:szCs w:val="32"/>
          <w:shd w:val="clear" w:color="auto" w:fill="FFFFFF"/>
          <w:lang w:eastAsia="zh-CN"/>
          <w14:textFill>
            <w14:solidFill>
              <w14:schemeClr w14:val="tx1"/>
            </w14:solidFill>
          </w14:textFill>
        </w:rPr>
      </w:pPr>
      <w:r>
        <w:rPr>
          <w:rFonts w:hint="eastAsia" w:eastAsia="仿宋_GB2312"/>
          <w:b w:val="0"/>
          <w:bCs w:val="0"/>
          <w:color w:val="000000" w:themeColor="text1"/>
          <w:sz w:val="32"/>
          <w:szCs w:val="32"/>
          <w:shd w:val="clear" w:color="auto" w:fill="FFFFFF"/>
          <w:lang w:val="en-US" w:eastAsia="zh-CN"/>
          <w14:textFill>
            <w14:solidFill>
              <w14:schemeClr w14:val="tx1"/>
            </w14:solidFill>
          </w14:textFill>
        </w:rPr>
        <w:t>二</w:t>
      </w:r>
      <w:r>
        <w:rPr>
          <w:rFonts w:hint="eastAsia" w:eastAsia="仿宋_GB2312"/>
          <w:b w:val="0"/>
          <w:bCs w:val="0"/>
          <w:color w:val="000000" w:themeColor="text1"/>
          <w:sz w:val="32"/>
          <w:szCs w:val="32"/>
          <w:shd w:val="clear" w:color="auto" w:fill="FFFFFF"/>
          <w:lang w:eastAsia="zh-CN"/>
          <w14:textFill>
            <w14:solidFill>
              <w14:schemeClr w14:val="tx1"/>
            </w14:solidFill>
          </w14:textFill>
        </w:rPr>
        <w:t>是不断完善公开制度机制。本年度，我局坚持“以公开为常态，不公开为例外”原则，全面落实信息公开条例，夯实主动公开工作基础。涉及群众关心关注的信息，做到规范、及时、准确、完整发布信息，</w:t>
      </w:r>
      <w:r>
        <w:rPr>
          <w:rFonts w:hint="eastAsia" w:eastAsia="仿宋_GB2312"/>
          <w:b w:val="0"/>
          <w:bCs w:val="0"/>
          <w:color w:val="000000" w:themeColor="text1"/>
          <w:sz w:val="32"/>
          <w:szCs w:val="32"/>
          <w:shd w:val="clear" w:color="auto" w:fill="FFFFFF"/>
          <w:lang w:val="en-US" w:eastAsia="zh-CN"/>
          <w14:textFill>
            <w14:solidFill>
              <w14:schemeClr w14:val="tx1"/>
            </w14:solidFill>
          </w14:textFill>
        </w:rPr>
        <w:t>有效促进政务</w:t>
      </w:r>
      <w:r>
        <w:rPr>
          <w:rFonts w:hint="eastAsia" w:eastAsia="仿宋_GB2312"/>
          <w:b w:val="0"/>
          <w:bCs w:val="0"/>
          <w:color w:val="000000" w:themeColor="text1"/>
          <w:sz w:val="32"/>
          <w:szCs w:val="32"/>
          <w:shd w:val="clear" w:color="auto" w:fill="FFFFFF"/>
          <w:lang w:eastAsia="zh-CN"/>
          <w14:textFill>
            <w14:solidFill>
              <w14:schemeClr w14:val="tx1"/>
            </w14:solidFill>
          </w14:textFill>
        </w:rPr>
        <w:t>公开</w:t>
      </w:r>
      <w:r>
        <w:rPr>
          <w:rFonts w:hint="eastAsia" w:eastAsia="仿宋_GB2312"/>
          <w:b w:val="0"/>
          <w:bCs w:val="0"/>
          <w:color w:val="000000" w:themeColor="text1"/>
          <w:sz w:val="32"/>
          <w:szCs w:val="32"/>
          <w:shd w:val="clear" w:color="auto" w:fill="FFFFFF"/>
          <w:lang w:val="en-US" w:eastAsia="zh-CN"/>
          <w14:textFill>
            <w14:solidFill>
              <w14:schemeClr w14:val="tx1"/>
            </w14:solidFill>
          </w14:textFill>
        </w:rPr>
        <w:t>工作的</w:t>
      </w:r>
      <w:r>
        <w:rPr>
          <w:rFonts w:hint="eastAsia" w:eastAsia="仿宋_GB2312"/>
          <w:b w:val="0"/>
          <w:bCs w:val="0"/>
          <w:color w:val="000000" w:themeColor="text1"/>
          <w:sz w:val="32"/>
          <w:szCs w:val="32"/>
          <w:shd w:val="clear" w:color="auto" w:fill="FFFFFF"/>
          <w:lang w:eastAsia="zh-CN"/>
          <w14:textFill>
            <w14:solidFill>
              <w14:schemeClr w14:val="tx1"/>
            </w14:solidFill>
          </w14:textFill>
        </w:rPr>
        <w:t>常态化、规范化、标准化水平。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eastAsia="黑体"/>
          <w:bCs/>
          <w:color w:val="auto"/>
          <w:sz w:val="32"/>
          <w:szCs w:val="32"/>
          <w:lang w:eastAsia="zh-CN"/>
        </w:rPr>
        <w:t>（四）平台建设情况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依托“政府网站”等平台发布信息，推动政务公开信息向不同群体精准推送，提升群众获取政府信息的便利度和幸福感。</w:t>
      </w:r>
      <w:r>
        <w:rPr>
          <w:rFonts w:eastAsia="仿宋_GB2312"/>
          <w:color w:val="auto"/>
          <w:sz w:val="32"/>
          <w:szCs w:val="32"/>
          <w:lang w:eastAsia="zh-CN" w:bidi="ar-SA"/>
        </w:rPr>
        <w:t>　　</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firstLine="645"/>
        <w:textAlignment w:val="auto"/>
        <w:rPr>
          <w:rFonts w:hAnsi="黑体" w:eastAsia="黑体"/>
          <w:color w:val="auto"/>
          <w:sz w:val="32"/>
          <w:szCs w:val="32"/>
          <w:lang w:eastAsia="zh-CN" w:bidi="ar-SA"/>
        </w:rPr>
      </w:pPr>
      <w:r>
        <w:rPr>
          <w:rFonts w:hAnsi="黑体" w:eastAsia="黑体"/>
          <w:color w:val="auto"/>
          <w:sz w:val="32"/>
          <w:szCs w:val="32"/>
          <w:lang w:eastAsia="zh-CN" w:bidi="ar-SA"/>
        </w:rPr>
        <w:t>监督保障方面</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zCs w:val="32"/>
          <w:lang w:eastAsia="zh-CN" w:bidi="ar-SA"/>
        </w:rPr>
      </w:pPr>
      <w:r>
        <w:rPr>
          <w:rFonts w:hint="eastAsia" w:ascii="Times New Roman" w:hAnsi="Times New Roman" w:eastAsia="仿宋_GB2312" w:cs="Times New Roman"/>
          <w:color w:val="auto"/>
          <w:sz w:val="32"/>
          <w:szCs w:val="32"/>
          <w:lang w:eastAsia="zh-CN" w:bidi="ar-SA"/>
        </w:rPr>
        <w:t xml:space="preserve">我局高度重视政府信息公开工作，把这项工作列入重要议事日程，成立了由局长任组长，分管领导任副组长，局机关各股室负责人为成员的政务公开工作领导小组，下设了办公室在局办公室，明确了专职人员负责政务公开工作,统筹组织协调全局政务信息公开工作，做到了组织领导到位，机构人员落实到位，工作措施到位，确保了各项政务公开工作的顺利开展。 </w:t>
      </w:r>
    </w:p>
    <w:p>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ascii="Times New Roman" w:hAnsi="Times New Roman" w:eastAsia="黑体" w:cs="Times New Roman"/>
          <w:color w:val="auto"/>
          <w:sz w:val="32"/>
          <w:szCs w:val="32"/>
        </w:rPr>
      </w:pPr>
      <w:r>
        <w:rPr>
          <w:rFonts w:ascii="Times New Roman" w:hAnsi="黑体" w:eastAsia="黑体" w:cs="Times New Roman"/>
          <w:bCs/>
          <w:color w:val="auto"/>
          <w:sz w:val="32"/>
          <w:szCs w:val="32"/>
        </w:rPr>
        <w:t>二、主动公开政府信息情况</w:t>
      </w:r>
    </w:p>
    <w:tbl>
      <w:tblPr>
        <w:tblStyle w:val="4"/>
        <w:tblW w:w="8722" w:type="dxa"/>
        <w:jc w:val="center"/>
        <w:tblInd w:w="0" w:type="dxa"/>
        <w:tblLayout w:type="fixed"/>
        <w:tblCellMar>
          <w:top w:w="0" w:type="dxa"/>
          <w:left w:w="10" w:type="dxa"/>
          <w:bottom w:w="0" w:type="dxa"/>
          <w:right w:w="10" w:type="dxa"/>
        </w:tblCellMar>
      </w:tblPr>
      <w:tblGrid>
        <w:gridCol w:w="3115"/>
        <w:gridCol w:w="2146"/>
        <w:gridCol w:w="1610"/>
        <w:gridCol w:w="1851"/>
      </w:tblGrid>
      <w:tr>
        <w:tblPrEx>
          <w:tblLayout w:type="fixed"/>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第二十条第（一）项</w:t>
            </w:r>
          </w:p>
        </w:tc>
      </w:tr>
      <w:tr>
        <w:tblPrEx>
          <w:tblLayout w:type="fixed"/>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本年新制作数量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本年新公开数量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对外公开总数量</w:t>
            </w:r>
          </w:p>
        </w:tc>
      </w:tr>
      <w:tr>
        <w:tblPrEx>
          <w:tblLayout w:type="fixed"/>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规章</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22"/>
                <w:szCs w:val="22"/>
                <w:lang w:eastAsia="zh-CN"/>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规范性文件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r>
        <w:tblPrEx>
          <w:tblLayout w:type="fixed"/>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第二十条第（五）项</w:t>
            </w:r>
          </w:p>
        </w:tc>
      </w:tr>
      <w:tr>
        <w:tblPrEx>
          <w:tblLayout w:type="fixed"/>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行政许可</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Times New Roman"/>
                <w:color w:val="auto"/>
                <w:kern w:val="0"/>
                <w:sz w:val="22"/>
                <w:szCs w:val="22"/>
                <w:lang w:val="en-US" w:eastAsia="zh-CN" w:bidi="en-US"/>
              </w:rPr>
            </w:pPr>
            <w:r>
              <w:rPr>
                <w:rFonts w:hint="eastAsia" w:ascii="仿宋_GB2312" w:hAnsi="仿宋_GB2312" w:eastAsia="仿宋_GB2312" w:cs="仿宋_GB2312"/>
                <w:color w:val="auto"/>
                <w:sz w:val="22"/>
                <w:szCs w:val="22"/>
                <w:lang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Times New Roman"/>
                <w:color w:val="auto"/>
                <w:kern w:val="0"/>
                <w:sz w:val="22"/>
                <w:szCs w:val="22"/>
                <w:lang w:val="en-US" w:eastAsia="zh-CN" w:bidi="en-US"/>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Times New Roman"/>
                <w:color w:val="auto"/>
                <w:kern w:val="0"/>
                <w:sz w:val="22"/>
                <w:szCs w:val="22"/>
                <w:lang w:val="en-US" w:eastAsia="zh-CN" w:bidi="en-US"/>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其他对外管理服务事项</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2"/>
                <w:szCs w:val="22"/>
                <w:lang w:val="en-US" w:eastAsia="zh-CN" w:bidi="en-US"/>
              </w:rPr>
            </w:pPr>
            <w:r>
              <w:rPr>
                <w:rFonts w:hint="eastAsia" w:eastAsia="仿宋_GB2312"/>
                <w:color w:val="auto"/>
                <w:sz w:val="22"/>
                <w:szCs w:val="22"/>
                <w:lang w:val="en-US" w:eastAsia="zh-CN"/>
              </w:rPr>
              <w:t>96</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2"/>
                <w:szCs w:val="22"/>
                <w:lang w:val="en-US" w:eastAsia="zh-CN" w:bidi="en-US"/>
              </w:rPr>
            </w:pPr>
            <w:r>
              <w:rPr>
                <w:rFonts w:hint="eastAsia" w:eastAsia="仿宋_GB2312"/>
                <w:color w:val="auto"/>
                <w:sz w:val="22"/>
                <w:szCs w:val="22"/>
                <w:lang w:val="en-US" w:eastAsia="zh-CN"/>
              </w:rPr>
              <w:t>增18</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_GB2312" w:cs="Times New Roman"/>
                <w:color w:val="auto"/>
                <w:kern w:val="0"/>
                <w:sz w:val="22"/>
                <w:szCs w:val="22"/>
                <w:lang w:val="en-US" w:eastAsia="zh-CN" w:bidi="en-US"/>
              </w:rPr>
            </w:pPr>
            <w:r>
              <w:rPr>
                <w:rFonts w:hint="eastAsia" w:eastAsia="仿宋_GB2312"/>
                <w:color w:val="auto"/>
                <w:sz w:val="22"/>
                <w:szCs w:val="22"/>
                <w:lang w:val="en-US"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第二十条第（六）项</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1610"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c>
          <w:tcPr>
            <w:tcW w:w="1851" w:type="dxa"/>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处理决定数量</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行政处罚</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2"/>
                <w:szCs w:val="22"/>
                <w:lang w:val="en-US" w:eastAsia="zh-CN" w:bidi="en-US"/>
              </w:rPr>
            </w:pPr>
            <w:r>
              <w:rPr>
                <w:rFonts w:hint="eastAsia" w:ascii="仿宋_GB2312" w:hAnsi="仿宋_GB2312" w:eastAsia="仿宋_GB2312" w:cs="仿宋_GB2312"/>
                <w:color w:val="auto"/>
                <w:sz w:val="22"/>
                <w:szCs w:val="22"/>
                <w:lang w:val="en-US" w:eastAsia="zh-CN"/>
              </w:rPr>
              <w:t>4</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auto"/>
                <w:kern w:val="0"/>
                <w:sz w:val="22"/>
                <w:szCs w:val="22"/>
                <w:lang w:val="en-US" w:eastAsia="zh-CN" w:bidi="en-US"/>
              </w:rPr>
            </w:pPr>
            <w:r>
              <w:rPr>
                <w:rFonts w:hint="eastAsia" w:ascii="仿宋_GB2312" w:hAnsi="仿宋_GB2312" w:eastAsia="仿宋_GB2312" w:cs="仿宋_GB2312"/>
                <w:color w:val="auto"/>
                <w:sz w:val="22"/>
                <w:szCs w:val="22"/>
                <w:lang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仿宋_GB2312" w:cs="Times New Roman"/>
                <w:color w:val="auto"/>
                <w:kern w:val="0"/>
                <w:sz w:val="22"/>
                <w:szCs w:val="22"/>
                <w:lang w:val="en-US" w:eastAsia="zh-CN" w:bidi="en-US"/>
              </w:rPr>
            </w:pPr>
            <w:r>
              <w:rPr>
                <w:rFonts w:hint="eastAsia" w:ascii="仿宋_GB2312" w:hAnsi="仿宋_GB2312" w:eastAsia="仿宋_GB2312" w:cs="仿宋_GB2312"/>
                <w:color w:val="auto"/>
                <w:sz w:val="22"/>
                <w:szCs w:val="22"/>
                <w:lang w:eastAsia="zh-CN"/>
              </w:rPr>
              <w:t>0</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行政强制</w:t>
            </w:r>
          </w:p>
        </w:tc>
        <w:tc>
          <w:tcPr>
            <w:tcW w:w="214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2"/>
                <w:szCs w:val="22"/>
                <w:lang w:val="en-US" w:eastAsia="zh-CN" w:bidi="en-US"/>
              </w:rPr>
            </w:pPr>
            <w:r>
              <w:rPr>
                <w:rFonts w:hint="eastAsia" w:eastAsia="仿宋_GB2312"/>
                <w:color w:val="auto"/>
                <w:sz w:val="22"/>
                <w:szCs w:val="22"/>
                <w:lang w:val="en-US" w:eastAsia="zh-CN"/>
              </w:rPr>
              <w:t>0</w:t>
            </w:r>
          </w:p>
        </w:tc>
        <w:tc>
          <w:tcPr>
            <w:tcW w:w="1610"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2"/>
                <w:szCs w:val="22"/>
                <w:lang w:val="en-US" w:eastAsia="zh-CN" w:bidi="en-US"/>
              </w:rPr>
            </w:pPr>
            <w:r>
              <w:rPr>
                <w:rFonts w:hint="eastAsia" w:eastAsia="仿宋_GB2312"/>
                <w:color w:val="auto"/>
                <w:sz w:val="22"/>
                <w:szCs w:val="22"/>
                <w:lang w:val="en-US" w:eastAsia="zh-CN"/>
              </w:rPr>
              <w:t>0</w:t>
            </w:r>
          </w:p>
        </w:tc>
        <w:tc>
          <w:tcPr>
            <w:tcW w:w="1851"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2"/>
                <w:szCs w:val="22"/>
                <w:lang w:val="en-US" w:eastAsia="zh-CN" w:bidi="en-US"/>
              </w:rPr>
            </w:pPr>
            <w:r>
              <w:rPr>
                <w:rFonts w:hint="eastAsia" w:eastAsia="仿宋_GB2312"/>
                <w:color w:val="auto"/>
                <w:sz w:val="22"/>
                <w:szCs w:val="22"/>
                <w:lang w:val="en-US" w:eastAsia="zh-CN"/>
              </w:rPr>
              <w:t>0</w:t>
            </w:r>
          </w:p>
        </w:tc>
      </w:tr>
      <w:tr>
        <w:tblPrEx>
          <w:tblLayout w:type="fixed"/>
          <w:tblCellMar>
            <w:top w:w="0" w:type="dxa"/>
            <w:left w:w="10" w:type="dxa"/>
            <w:bottom w:w="0" w:type="dxa"/>
            <w:right w:w="10" w:type="dxa"/>
          </w:tblCellMar>
        </w:tblPrEx>
        <w:trPr>
          <w:trHeight w:val="451" w:hRule="exact"/>
          <w:jc w:val="center"/>
        </w:trPr>
        <w:tc>
          <w:tcPr>
            <w:tcW w:w="8722" w:type="dxa"/>
            <w:gridSpan w:val="4"/>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第二十条第（八）项</w:t>
            </w:r>
          </w:p>
        </w:tc>
      </w:tr>
      <w:tr>
        <w:tblPrEx>
          <w:tblLayout w:type="fixed"/>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1060"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信息内容</w:t>
            </w:r>
          </w:p>
        </w:tc>
        <w:tc>
          <w:tcPr>
            <w:tcW w:w="2146"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上一年项目数量</w:t>
            </w:r>
          </w:p>
        </w:tc>
        <w:tc>
          <w:tcPr>
            <w:tcW w:w="3461" w:type="dxa"/>
            <w:gridSpan w:val="2"/>
            <w:tcBorders>
              <w:top w:val="single" w:color="auto" w:sz="4" w:space="0"/>
              <w:left w:val="single" w:color="auto" w:sz="4" w:space="0"/>
              <w:righ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本年增/减</w:t>
            </w:r>
          </w:p>
        </w:tc>
      </w:tr>
      <w:tr>
        <w:tblPrEx>
          <w:tblLayout w:type="fixed"/>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2"/>
                <w:szCs w:val="22"/>
              </w:rPr>
            </w:pPr>
            <w:r>
              <w:rPr>
                <w:rFonts w:hint="eastAsia" w:ascii="仿宋_GB2312" w:hAnsi="仿宋_GB2312" w:eastAsia="仿宋_GB2312" w:cs="仿宋_GB2312"/>
                <w:color w:val="auto"/>
                <w:sz w:val="22"/>
                <w:szCs w:val="22"/>
              </w:rPr>
              <w:t>行政事业性收费</w:t>
            </w:r>
          </w:p>
        </w:tc>
        <w:tc>
          <w:tcPr>
            <w:tcW w:w="214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c>
          <w:tcPr>
            <w:tcW w:w="3461"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22"/>
                <w:szCs w:val="22"/>
                <w:lang w:val="en-US" w:eastAsia="zh-CN"/>
              </w:rPr>
            </w:pPr>
            <w:r>
              <w:rPr>
                <w:rFonts w:hint="eastAsia" w:eastAsia="仿宋_GB2312"/>
                <w:color w:val="auto"/>
                <w:sz w:val="22"/>
                <w:szCs w:val="22"/>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sz w:val="2"/>
          <w:szCs w:val="2"/>
        </w:rPr>
      </w:pPr>
      <w:r>
        <w:rPr>
          <w:color w:val="auto"/>
        </w:rPr>
        <w:br w:type="page"/>
      </w:r>
    </w:p>
    <w:p>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color w:val="auto"/>
          <w:sz w:val="32"/>
          <w:szCs w:val="32"/>
        </w:rPr>
      </w:pPr>
      <w:r>
        <w:rPr>
          <w:rFonts w:ascii="Times New Roman" w:hAnsi="Times New Roman" w:eastAsia="黑体" w:cs="Times New Roman"/>
          <w:bCs/>
          <w:color w:val="auto"/>
          <w:sz w:val="32"/>
          <w:szCs w:val="32"/>
        </w:rPr>
        <w:t>三、收到和处理政府信息公开申请情况</w:t>
      </w:r>
    </w:p>
    <w:tbl>
      <w:tblPr>
        <w:tblStyle w:val="4"/>
        <w:tblW w:w="8721" w:type="dxa"/>
        <w:jc w:val="center"/>
        <w:tblInd w:w="0" w:type="dxa"/>
        <w:tblLayout w:type="fixed"/>
        <w:tblCellMar>
          <w:top w:w="0" w:type="dxa"/>
          <w:left w:w="10" w:type="dxa"/>
          <w:bottom w:w="0" w:type="dxa"/>
          <w:right w:w="10" w:type="dxa"/>
        </w:tblCellMar>
      </w:tblPr>
      <w:tblGrid>
        <w:gridCol w:w="518"/>
        <w:gridCol w:w="1414"/>
        <w:gridCol w:w="2709"/>
        <w:gridCol w:w="624"/>
        <w:gridCol w:w="562"/>
        <w:gridCol w:w="562"/>
        <w:gridCol w:w="566"/>
        <w:gridCol w:w="566"/>
        <w:gridCol w:w="566"/>
        <w:gridCol w:w="634"/>
      </w:tblGrid>
      <w:tr>
        <w:tblPrEx>
          <w:tblLayout w:type="fixed"/>
          <w:tblCellMar>
            <w:top w:w="0" w:type="dxa"/>
            <w:left w:w="10" w:type="dxa"/>
            <w:bottom w:w="0" w:type="dxa"/>
            <w:right w:w="10" w:type="dxa"/>
          </w:tblCellMar>
        </w:tblPrEx>
        <w:trPr>
          <w:trHeight w:val="538"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申请人情况</w:t>
            </w:r>
          </w:p>
        </w:tc>
      </w:tr>
      <w:tr>
        <w:tblPrEx>
          <w:tblLayout w:type="fixed"/>
          <w:tblCellMar>
            <w:top w:w="0" w:type="dxa"/>
            <w:left w:w="10" w:type="dxa"/>
            <w:bottom w:w="0" w:type="dxa"/>
            <w:right w:w="10" w:type="dxa"/>
          </w:tblCellMar>
        </w:tblPrEx>
        <w:trPr>
          <w:trHeight w:val="475"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总计</w:t>
            </w:r>
          </w:p>
        </w:tc>
      </w:tr>
      <w:tr>
        <w:tblPrEx>
          <w:tblLayout w:type="fixed"/>
          <w:tblCellMar>
            <w:top w:w="0" w:type="dxa"/>
            <w:left w:w="10" w:type="dxa"/>
            <w:bottom w:w="0" w:type="dxa"/>
            <w:right w:w="10" w:type="dxa"/>
          </w:tblCellMar>
        </w:tblPrEx>
        <w:trPr>
          <w:trHeight w:val="914" w:hRule="exact"/>
          <w:jc w:val="center"/>
        </w:trPr>
        <w:tc>
          <w:tcPr>
            <w:tcW w:w="4641" w:type="dxa"/>
            <w:gridSpan w:val="3"/>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商业 企业</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科研 机构</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10"/>
                <w:szCs w:val="10"/>
                <w:lang w:eastAsia="zh-CN"/>
              </w:rPr>
            </w:pPr>
            <w:r>
              <w:rPr>
                <w:rFonts w:hint="eastAsia" w:ascii="仿宋_GB2312" w:hAnsi="仿宋_GB2312" w:eastAsia="仿宋_GB2312" w:cs="仿宋_GB2312"/>
                <w:color w:val="auto"/>
                <w:sz w:val="20"/>
                <w:szCs w:val="20"/>
                <w:lang w:val="zh-TW" w:eastAsia="zh-CN" w:bidi="zh-TW"/>
              </w:rPr>
              <w:t>社会公益组织</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其他</w:t>
            </w:r>
          </w:p>
        </w:tc>
        <w:tc>
          <w:tcPr>
            <w:tcW w:w="634" w:type="dxa"/>
            <w:vMerge w:val="continue"/>
            <w:tcBorders>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rPr>
            </w:pPr>
          </w:p>
        </w:tc>
      </w:tr>
      <w:tr>
        <w:tblPrEx>
          <w:tblLayout w:type="fixed"/>
          <w:tblCellMar>
            <w:top w:w="0" w:type="dxa"/>
            <w:left w:w="10" w:type="dxa"/>
            <w:bottom w:w="0" w:type="dxa"/>
            <w:right w:w="10" w:type="dxa"/>
          </w:tblCellMar>
        </w:tblPrEx>
        <w:trPr>
          <w:trHeight w:val="536"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一、本年新收政府信息公开申请数量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tabs>
                <w:tab w:val="left" w:pos="300"/>
              </w:tabs>
              <w:kinsoku/>
              <w:wordWrap/>
              <w:overflowPunct/>
              <w:topLinePunct w:val="0"/>
              <w:autoSpaceDE/>
              <w:autoSpaceDN/>
              <w:bidi w:val="0"/>
              <w:adjustRightInd/>
              <w:snapToGrid/>
              <w:spacing w:line="440" w:lineRule="exact"/>
              <w:jc w:val="left"/>
              <w:textAlignment w:val="auto"/>
              <w:rPr>
                <w:rFonts w:hint="default" w:ascii="Times New Roman" w:hAnsi="Times New Roman" w:eastAsia="仿宋_GB2312" w:cs="Times New Roman"/>
                <w:color w:val="auto"/>
                <w:kern w:val="0"/>
                <w:sz w:val="32"/>
                <w:szCs w:val="32"/>
                <w:lang w:val="en-US" w:eastAsia="zh-CN" w:bidi="en-US"/>
              </w:rPr>
            </w:pPr>
            <w:r>
              <w:rPr>
                <w:rFonts w:hint="eastAsia" w:eastAsia="仿宋_GB2312"/>
                <w:color w:val="auto"/>
                <w:sz w:val="32"/>
                <w:szCs w:val="32"/>
                <w:lang w:eastAsia="zh-CN"/>
              </w:rPr>
              <w:tab/>
            </w:r>
            <w:r>
              <w:rPr>
                <w:rFonts w:hint="eastAsia" w:eastAsia="仿宋_GB2312"/>
                <w:color w:val="auto"/>
                <w:sz w:val="32"/>
                <w:szCs w:val="32"/>
                <w:lang w:val="en-US" w:eastAsia="zh-CN"/>
              </w:rPr>
              <w:t>1</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32"/>
                <w:szCs w:val="32"/>
                <w:lang w:val="en-US" w:eastAsia="zh-CN" w:bidi="en-US"/>
              </w:rPr>
            </w:pPr>
            <w:r>
              <w:rPr>
                <w:rFonts w:hint="eastAsia" w:eastAsia="仿宋_GB2312" w:cs="Times New Roman"/>
                <w:color w:val="auto"/>
                <w:kern w:val="0"/>
                <w:sz w:val="32"/>
                <w:szCs w:val="32"/>
                <w:lang w:val="en-US" w:eastAsia="zh-CN" w:bidi="en-US"/>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32"/>
                <w:szCs w:val="32"/>
                <w:lang w:val="en-US" w:eastAsia="zh-CN" w:bidi="en-US"/>
              </w:rPr>
            </w:pPr>
            <w:r>
              <w:rPr>
                <w:rFonts w:hint="eastAsia" w:eastAsia="仿宋_GB2312" w:cs="Times New Roman"/>
                <w:color w:val="auto"/>
                <w:kern w:val="0"/>
                <w:sz w:val="32"/>
                <w:szCs w:val="32"/>
                <w:lang w:val="en-US" w:eastAsia="zh-CN" w:bidi="en-US"/>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32"/>
                <w:szCs w:val="32"/>
                <w:lang w:val="en-US" w:eastAsia="zh-CN" w:bidi="en-US"/>
              </w:rPr>
            </w:pPr>
            <w:r>
              <w:rPr>
                <w:rFonts w:hint="eastAsia" w:eastAsia="仿宋_GB2312" w:cs="Times New Roman"/>
                <w:color w:val="auto"/>
                <w:kern w:val="0"/>
                <w:sz w:val="32"/>
                <w:szCs w:val="32"/>
                <w:lang w:val="en-US" w:eastAsia="zh-CN" w:bidi="en-US"/>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32"/>
                <w:szCs w:val="32"/>
                <w:lang w:val="en-US" w:eastAsia="zh-CN" w:bidi="en-US"/>
              </w:rPr>
            </w:pPr>
            <w:r>
              <w:rPr>
                <w:rFonts w:hint="eastAsia" w:eastAsia="仿宋_GB2312" w:cs="Times New Roman"/>
                <w:color w:val="auto"/>
                <w:kern w:val="0"/>
                <w:sz w:val="32"/>
                <w:szCs w:val="32"/>
                <w:lang w:val="en-US" w:eastAsia="zh-CN" w:bidi="en-US"/>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32"/>
                <w:szCs w:val="32"/>
                <w:lang w:val="en-US" w:eastAsia="zh-CN" w:bidi="en-US"/>
              </w:rPr>
            </w:pPr>
            <w:r>
              <w:rPr>
                <w:rFonts w:hint="eastAsia" w:eastAsia="仿宋_GB2312" w:cs="Times New Roman"/>
                <w:color w:val="auto"/>
                <w:kern w:val="0"/>
                <w:sz w:val="32"/>
                <w:szCs w:val="32"/>
                <w:lang w:val="en-US" w:eastAsia="zh-CN" w:bidi="en-US"/>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32"/>
                <w:szCs w:val="32"/>
                <w:lang w:val="en-US" w:eastAsia="zh-CN" w:bidi="en-US"/>
              </w:rPr>
            </w:pPr>
            <w:r>
              <w:rPr>
                <w:rFonts w:hint="eastAsia" w:eastAsia="仿宋_GB2312"/>
                <w:color w:val="auto"/>
                <w:sz w:val="32"/>
                <w:szCs w:val="32"/>
                <w:lang w:val="en-US" w:eastAsia="zh-CN"/>
              </w:rPr>
              <w:t>1</w:t>
            </w:r>
          </w:p>
        </w:tc>
      </w:tr>
      <w:tr>
        <w:tblPrEx>
          <w:tblLayout w:type="fixed"/>
          <w:tblCellMar>
            <w:top w:w="0" w:type="dxa"/>
            <w:left w:w="10" w:type="dxa"/>
            <w:bottom w:w="0" w:type="dxa"/>
            <w:right w:w="10" w:type="dxa"/>
          </w:tblCellMar>
        </w:tblPrEx>
        <w:trPr>
          <w:trHeight w:val="495" w:hRule="exact"/>
          <w:jc w:val="center"/>
        </w:trPr>
        <w:tc>
          <w:tcPr>
            <w:tcW w:w="4641" w:type="dxa"/>
            <w:gridSpan w:val="3"/>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二、上年结转政府信息公开申请数量</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520"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eastAsia="仿宋_GB2312" w:cs="Times New Roman"/>
                <w:color w:val="auto"/>
              </w:rPr>
            </w:pPr>
            <w:r>
              <w:rPr>
                <w:rFonts w:hint="eastAsia" w:ascii="仿宋_GB2312" w:hAnsi="仿宋_GB2312" w:eastAsia="仿宋_GB2312" w:cs="仿宋_GB2312"/>
                <w:color w:val="auto"/>
              </w:rPr>
              <w:t>三、本年度办理结果</w:t>
            </w: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（一）予以公开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1</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1</w:t>
            </w:r>
            <w:bookmarkStart w:id="1" w:name="_GoBack"/>
            <w:bookmarkEnd w:id="1"/>
          </w:p>
        </w:tc>
      </w:tr>
      <w:tr>
        <w:tblPrEx>
          <w:tblLayout w:type="fixed"/>
          <w:tblCellMar>
            <w:top w:w="0" w:type="dxa"/>
            <w:left w:w="10" w:type="dxa"/>
            <w:bottom w:w="0" w:type="dxa"/>
            <w:right w:w="10" w:type="dxa"/>
          </w:tblCellMar>
        </w:tblPrEx>
        <w:trPr>
          <w:trHeight w:val="859"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（三）不予公开</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属于国家秘密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宋体" w:cs="Times New Roman"/>
                <w:color w:val="auto"/>
                <w:kern w:val="0"/>
                <w:sz w:val="24"/>
                <w:szCs w:val="24"/>
                <w:lang w:val="en-US" w:eastAsia="zh-CN"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lang w:eastAsia="zh-CN"/>
              </w:rPr>
              <w:t>其他法律行政法规</w:t>
            </w:r>
            <w:r>
              <w:rPr>
                <w:rFonts w:hint="eastAsia" w:ascii="仿宋_GB2312" w:hAnsi="仿宋_GB2312" w:eastAsia="仿宋_GB2312" w:cs="仿宋_GB2312"/>
                <w:color w:val="auto"/>
                <w:sz w:val="20"/>
                <w:szCs w:val="20"/>
              </w:rPr>
              <w:t>禁止公开</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危及</w:t>
            </w:r>
            <w:r>
              <w:rPr>
                <w:rFonts w:hint="eastAsia" w:ascii="仿宋_GB2312" w:hAnsi="仿宋_GB2312" w:eastAsia="仿宋_GB2312" w:cs="仿宋_GB2312"/>
                <w:color w:val="auto"/>
                <w:sz w:val="20"/>
                <w:szCs w:val="20"/>
                <w:lang w:val="zh-CN" w:eastAsia="zh-CN" w:bidi="zh-CN"/>
              </w:rPr>
              <w:t>“三</w:t>
            </w:r>
            <w:r>
              <w:rPr>
                <w:rFonts w:hint="eastAsia" w:ascii="仿宋_GB2312" w:hAnsi="仿宋_GB2312" w:eastAsia="仿宋_GB2312" w:cs="仿宋_GB2312"/>
                <w:color w:val="auto"/>
                <w:sz w:val="20"/>
                <w:szCs w:val="20"/>
              </w:rPr>
              <w:t>安全一稳定”</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4.</w:t>
            </w:r>
            <w:r>
              <w:rPr>
                <w:rFonts w:hint="eastAsia" w:ascii="仿宋_GB2312" w:hAnsi="仿宋_GB2312" w:eastAsia="仿宋_GB2312" w:cs="仿宋_GB2312"/>
                <w:color w:val="auto"/>
                <w:sz w:val="20"/>
                <w:szCs w:val="20"/>
              </w:rPr>
              <w:t>保护第三方合法权益</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属于三类内部事务信息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6.</w:t>
            </w:r>
            <w:r>
              <w:rPr>
                <w:rFonts w:hint="eastAsia" w:ascii="仿宋_GB2312" w:hAnsi="仿宋_GB2312" w:eastAsia="仿宋_GB2312" w:cs="仿宋_GB2312"/>
                <w:color w:val="auto"/>
                <w:sz w:val="20"/>
                <w:szCs w:val="20"/>
              </w:rPr>
              <w:t>属于四类过程性信息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7.</w:t>
            </w:r>
            <w:r>
              <w:rPr>
                <w:rFonts w:hint="eastAsia" w:ascii="仿宋_GB2312" w:hAnsi="仿宋_GB2312" w:eastAsia="仿宋_GB2312" w:cs="仿宋_GB2312"/>
                <w:color w:val="auto"/>
                <w:sz w:val="20"/>
                <w:szCs w:val="20"/>
              </w:rPr>
              <w:t>属于行政执法案卷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8.</w:t>
            </w:r>
            <w:r>
              <w:rPr>
                <w:rFonts w:hint="eastAsia" w:ascii="仿宋_GB2312" w:hAnsi="仿宋_GB2312" w:eastAsia="仿宋_GB2312" w:cs="仿宋_GB2312"/>
                <w:color w:val="auto"/>
                <w:sz w:val="20"/>
                <w:szCs w:val="20"/>
              </w:rPr>
              <w:t>属于行政查询事项</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7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（四）无法提供</w:t>
            </w: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1.</w:t>
            </w:r>
            <w:r>
              <w:rPr>
                <w:rFonts w:hint="eastAsia" w:ascii="仿宋_GB2312" w:hAnsi="仿宋_GB2312" w:eastAsia="仿宋_GB2312" w:cs="仿宋_GB2312"/>
                <w:color w:val="auto"/>
                <w:sz w:val="20"/>
                <w:szCs w:val="20"/>
              </w:rPr>
              <w:t>本机关不掌握相关政府信息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2.</w:t>
            </w:r>
            <w:r>
              <w:rPr>
                <w:rFonts w:hint="eastAsia" w:ascii="仿宋_GB2312" w:hAnsi="仿宋_GB2312" w:eastAsia="仿宋_GB2312" w:cs="仿宋_GB2312"/>
                <w:color w:val="auto"/>
                <w:sz w:val="20"/>
                <w:szCs w:val="20"/>
              </w:rPr>
              <w:t>没有现成信息需要另行制作</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3.</w:t>
            </w:r>
            <w:r>
              <w:rPr>
                <w:rFonts w:hint="eastAsia" w:ascii="仿宋_GB2312" w:hAnsi="仿宋_GB2312" w:eastAsia="仿宋_GB2312" w:cs="仿宋_GB2312"/>
                <w:color w:val="auto"/>
                <w:sz w:val="20"/>
                <w:szCs w:val="20"/>
              </w:rPr>
              <w:t>补正后申请内容仍不明确</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436"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（五）不予处理</w:t>
            </w: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1.</w:t>
            </w:r>
            <w:r>
              <w:rPr>
                <w:rFonts w:hint="eastAsia" w:ascii="仿宋_GB2312" w:hAnsi="仿宋_GB2312" w:eastAsia="仿宋_GB2312" w:cs="仿宋_GB2312"/>
                <w:color w:val="auto"/>
                <w:sz w:val="20"/>
                <w:szCs w:val="20"/>
              </w:rPr>
              <w:t>信访举报投诉类申请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437"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2.</w:t>
            </w:r>
            <w:r>
              <w:rPr>
                <w:rFonts w:hint="eastAsia" w:ascii="仿宋_GB2312" w:hAnsi="仿宋_GB2312" w:eastAsia="仿宋_GB2312" w:cs="仿宋_GB2312"/>
                <w:color w:val="auto"/>
                <w:sz w:val="20"/>
                <w:szCs w:val="20"/>
              </w:rPr>
              <w:t>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41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en-US" w:bidi="en-US"/>
              </w:rPr>
              <w:t>3.</w:t>
            </w:r>
            <w:r>
              <w:rPr>
                <w:rFonts w:hint="eastAsia" w:ascii="仿宋_GB2312" w:hAnsi="仿宋_GB2312" w:eastAsia="仿宋_GB2312" w:cs="仿宋_GB2312"/>
                <w:color w:val="auto"/>
                <w:sz w:val="20"/>
                <w:szCs w:val="20"/>
              </w:rPr>
              <w:t>要求提供公开出版物</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43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2709" w:type="dxa"/>
            <w:tcBorders>
              <w:top w:val="single" w:color="auto" w:sz="4" w:space="0"/>
              <w:left w:val="single" w:color="auto" w:sz="4" w:space="0"/>
            </w:tcBorders>
            <w:shd w:val="clear" w:color="auto" w:fill="FFFFFF"/>
            <w:vAlign w:val="bottom"/>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4.</w:t>
            </w:r>
            <w:r>
              <w:rPr>
                <w:rFonts w:hint="eastAsia" w:ascii="仿宋_GB2312" w:hAnsi="仿宋_GB2312" w:eastAsia="仿宋_GB2312" w:cs="仿宋_GB2312"/>
                <w:color w:val="auto"/>
                <w:sz w:val="20"/>
                <w:szCs w:val="20"/>
              </w:rPr>
              <w:t>无正当理由大量反复申请</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141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2709" w:type="dxa"/>
            <w:tcBorders>
              <w:top w:val="single" w:color="auto" w:sz="4" w:space="0"/>
              <w:left w:val="single" w:color="auto" w:sz="4" w:space="0"/>
            </w:tcBorders>
            <w:shd w:val="clear" w:color="auto" w:fill="FFFFFF"/>
          </w:tcPr>
          <w:p>
            <w:pPr>
              <w:pStyle w:val="10"/>
              <w:keepNext w:val="0"/>
              <w:keepLines w:val="0"/>
              <w:pageBreakBefore w:val="0"/>
              <w:widowControl w:val="0"/>
              <w:kinsoku/>
              <w:wordWrap/>
              <w:overflowPunct/>
              <w:topLinePunct w:val="0"/>
              <w:autoSpaceDE/>
              <w:autoSpaceDN/>
              <w:bidi w:val="0"/>
              <w:adjustRightInd/>
              <w:snapToGrid/>
              <w:spacing w:line="440" w:lineRule="exact"/>
              <w:ind w:left="340" w:hanging="340"/>
              <w:jc w:val="both"/>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lang w:val="en-US" w:eastAsia="zh-CN" w:bidi="en-US"/>
              </w:rPr>
              <w:t>5.</w:t>
            </w:r>
            <w:r>
              <w:rPr>
                <w:rFonts w:hint="eastAsia" w:ascii="仿宋_GB2312" w:hAnsi="仿宋_GB2312" w:eastAsia="仿宋_GB2312" w:cs="仿宋_GB2312"/>
                <w:color w:val="auto"/>
                <w:sz w:val="20"/>
                <w:szCs w:val="20"/>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hAnsi="Times New Roman" w:eastAsia="Times New Roman" w:cs="Times New Roman"/>
                <w:color w:val="auto"/>
                <w:kern w:val="0"/>
                <w:sz w:val="24"/>
                <w:szCs w:val="24"/>
                <w:lang w:val="en-US" w:eastAsia="en-US" w:bidi="en-US"/>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lang w:eastAsia="zh-CN"/>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（六）其他处理</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lang w:val="en-US" w:eastAsia="zh-CN"/>
              </w:rPr>
            </w:pPr>
            <w:r>
              <w:rPr>
                <w:rFonts w:hint="eastAsia" w:eastAsia="宋体"/>
                <w:color w:val="auto"/>
                <w:lang w:val="en-US" w:eastAsia="zh-CN"/>
              </w:rPr>
              <w:t>0</w:t>
            </w:r>
          </w:p>
        </w:tc>
      </w:tr>
      <w:tr>
        <w:tblPrEx>
          <w:tblLayout w:type="fixed"/>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仿宋_GB2312"/>
                <w:color w:val="auto"/>
              </w:rPr>
            </w:pPr>
          </w:p>
        </w:tc>
        <w:tc>
          <w:tcPr>
            <w:tcW w:w="4123" w:type="dxa"/>
            <w:gridSpan w:val="2"/>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（七）总计</w:t>
            </w:r>
          </w:p>
        </w:tc>
        <w:tc>
          <w:tcPr>
            <w:tcW w:w="624"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1</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2"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566" w:type="dxa"/>
            <w:tcBorders>
              <w:top w:val="single" w:color="auto" w:sz="4" w:space="0"/>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仿宋_GB2312"/>
                <w:color w:val="auto"/>
                <w:sz w:val="32"/>
                <w:szCs w:val="32"/>
                <w:lang w:eastAsia="zh-CN"/>
              </w:rPr>
            </w:pPr>
            <w:r>
              <w:rPr>
                <w:rFonts w:hint="eastAsia" w:eastAsia="宋体"/>
                <w:color w:val="auto"/>
                <w:lang w:val="en-US" w:eastAsia="zh-CN"/>
              </w:rPr>
              <w:t>0</w:t>
            </w:r>
          </w:p>
        </w:tc>
        <w:tc>
          <w:tcPr>
            <w:tcW w:w="634" w:type="dxa"/>
            <w:tcBorders>
              <w:top w:val="single" w:color="auto" w:sz="4" w:space="0"/>
              <w:left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仿宋_GB2312"/>
                <w:color w:val="auto"/>
                <w:sz w:val="32"/>
                <w:szCs w:val="32"/>
                <w:lang w:val="en-US" w:eastAsia="zh-CN"/>
              </w:rPr>
            </w:pPr>
            <w:r>
              <w:rPr>
                <w:rFonts w:hint="eastAsia" w:eastAsia="仿宋_GB2312"/>
                <w:color w:val="auto"/>
                <w:sz w:val="32"/>
                <w:szCs w:val="32"/>
                <w:lang w:val="en-US" w:eastAsia="zh-CN"/>
              </w:rPr>
              <w:t>1</w:t>
            </w:r>
          </w:p>
        </w:tc>
      </w:tr>
      <w:tr>
        <w:tblPrEx>
          <w:tblLayout w:type="fixed"/>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eastAsia="仿宋_GB2312" w:cs="Times New Roman"/>
                <w:color w:val="auto"/>
                <w:sz w:val="20"/>
                <w:szCs w:val="20"/>
              </w:rPr>
            </w:pPr>
            <w:r>
              <w:rPr>
                <w:rFonts w:hint="eastAsia" w:ascii="仿宋_GB2312" w:hAnsi="仿宋_GB2312" w:eastAsia="仿宋_GB2312" w:cs="仿宋_GB2312"/>
                <w:color w:val="auto"/>
                <w:sz w:val="20"/>
                <w:szCs w:val="20"/>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color w:val="auto"/>
              </w:rPr>
            </w:pPr>
            <w:r>
              <w:rPr>
                <w:rFonts w:hint="eastAsia" w:eastAsia="宋体"/>
                <w:color w:val="auto"/>
                <w:lang w:val="en-US" w:eastAsia="zh-CN"/>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eastAsia="宋体"/>
                <w:color w:val="auto"/>
                <w:lang w:val="en-US" w:eastAsia="zh-CN"/>
              </w:rPr>
            </w:pPr>
            <w:r>
              <w:rPr>
                <w:rFonts w:hint="eastAsia" w:eastAsia="宋体"/>
                <w:color w:val="auto"/>
                <w:lang w:val="en-US" w:eastAsia="zh-CN"/>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start="8"/>
          <w:cols w:space="720" w:num="1"/>
          <w:docGrid w:linePitch="360" w:charSpace="0"/>
        </w:sectPr>
      </w:pPr>
    </w:p>
    <w:p>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color w:val="auto"/>
          <w:sz w:val="32"/>
          <w:szCs w:val="32"/>
        </w:rPr>
      </w:pPr>
      <w:bookmarkStart w:id="0" w:name="bookmark39"/>
      <w:r>
        <w:rPr>
          <w:rFonts w:ascii="Times New Roman" w:hAnsi="Times New Roman" w:eastAsia="黑体" w:cs="Times New Roman"/>
          <w:bCs/>
          <w:color w:val="auto"/>
          <w:sz w:val="32"/>
          <w:szCs w:val="32"/>
        </w:rPr>
        <w:t>四</w:t>
      </w:r>
      <w:bookmarkEnd w:id="0"/>
      <w:r>
        <w:rPr>
          <w:rFonts w:ascii="Times New Roman" w:hAnsi="Times New Roman" w:eastAsia="黑体" w:cs="Times New Roman"/>
          <w:bCs/>
          <w:color w:val="auto"/>
          <w:sz w:val="32"/>
          <w:szCs w:val="32"/>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1</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1</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lang w:eastAsia="zh-CN" w:bidi="ar-SA"/>
        </w:rPr>
      </w:pPr>
      <w:r>
        <w:rPr>
          <w:rFonts w:eastAsia="黑体"/>
          <w:color w:val="auto"/>
          <w:sz w:val="32"/>
          <w:szCs w:val="32"/>
          <w:lang w:eastAsia="zh-CN" w:bidi="ar-SA"/>
        </w:rPr>
        <w:t>五、存在的主要问题及改进情况</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
          <w:bCs/>
          <w:color w:val="000000" w:themeColor="text1"/>
          <w:sz w:val="32"/>
          <w:szCs w:val="32"/>
          <w:lang w:val="en-US" w:eastAsia="zh-CN" w:bidi="ar-SA"/>
          <w14:textFill>
            <w14:solidFill>
              <w14:schemeClr w14:val="tx1"/>
            </w14:solidFill>
          </w14:textFill>
        </w:rPr>
      </w:pPr>
      <w:r>
        <w:rPr>
          <w:rFonts w:ascii="Times New Roman" w:hAnsi="Times New Roman" w:eastAsia="仿宋_GB2312" w:cs="Times New Roman"/>
          <w:color w:val="auto"/>
          <w:sz w:val="32"/>
          <w:szCs w:val="32"/>
          <w:lang w:eastAsia="zh-CN" w:bidi="ar-SA"/>
        </w:rPr>
        <w:t>　</w:t>
      </w:r>
      <w:r>
        <w:rPr>
          <w:rFonts w:hint="eastAsia" w:ascii="仿宋_GB2312" w:hAnsi="仿宋_GB2312" w:eastAsia="仿宋_GB2312" w:cs="仿宋_GB2312"/>
          <w:b/>
          <w:bCs/>
          <w:color w:val="auto"/>
          <w:sz w:val="32"/>
          <w:szCs w:val="32"/>
          <w:lang w:eastAsia="zh-CN" w:bidi="ar-SA"/>
        </w:rPr>
        <w:t>　</w:t>
      </w:r>
      <w:r>
        <w:rPr>
          <w:rFonts w:hint="eastAsia" w:ascii="仿宋_GB2312" w:hAnsi="仿宋_GB2312" w:eastAsia="仿宋_GB2312" w:cs="仿宋_GB2312"/>
          <w:b/>
          <w:bCs/>
          <w:color w:val="000000" w:themeColor="text1"/>
          <w:sz w:val="32"/>
          <w:szCs w:val="32"/>
          <w:lang w:val="en-US" w:eastAsia="zh-CN" w:bidi="ar-SA"/>
          <w14:textFill>
            <w14:solidFill>
              <w14:schemeClr w14:val="tx1"/>
            </w14:solidFill>
          </w14:textFill>
        </w:rPr>
        <w:t>存在问题：</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一是对信息公开的认识有待提高，工作人员主动意识需要增强；二是政府信息公开的内容有待完善，政府信息公开数量与群众的需求还存在距离；三是信息公开的载体和形式还需要进一步丰富，群众获取信息渠道少。</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pPr>
      <w:r>
        <w:rPr>
          <w:rFonts w:hint="eastAsia" w:ascii="仿宋_GB2312" w:hAnsi="仿宋_GB2312" w:eastAsia="仿宋_GB2312" w:cs="仿宋_GB2312"/>
          <w:b/>
          <w:bCs/>
          <w:color w:val="000000" w:themeColor="text1"/>
          <w:sz w:val="32"/>
          <w:szCs w:val="32"/>
          <w:lang w:eastAsia="zh-CN" w:bidi="ar-SA"/>
          <w14:textFill>
            <w14:solidFill>
              <w14:schemeClr w14:val="tx1"/>
            </w14:solidFill>
          </w14:textFill>
        </w:rPr>
        <w:t>　　改进措施</w:t>
      </w:r>
      <w:r>
        <w:rPr>
          <w:rFonts w:hint="eastAsia" w:eastAsia="楷体_GB2312"/>
          <w:b/>
          <w:color w:val="000000" w:themeColor="text1"/>
          <w:sz w:val="32"/>
          <w:szCs w:val="32"/>
          <w:lang w:eastAsia="zh-CN" w:bidi="ar-SA"/>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bidi="en-US"/>
          <w14:textFill>
            <w14:solidFill>
              <w14:schemeClr w14:val="tx1"/>
            </w14:solidFill>
          </w14:textFill>
        </w:rPr>
        <w:t>一是加强我局人员对《中华人民共和国政府信息公开条例》的准确度、理解度和掌握度；二是结合本局各部门的工作情况，积极加强加大信息公开，进一步拓宽公开范围；三是调研增加信息公开载体的可能性，丰富查阅形式，以便社会公众及时获取所需信息。</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auto"/>
          <w:sz w:val="32"/>
          <w:szCs w:val="32"/>
          <w:lang w:eastAsia="zh-CN" w:bidi="zh-TW"/>
        </w:rPr>
      </w:pPr>
      <w:r>
        <w:rPr>
          <w:rFonts w:eastAsia="黑体"/>
          <w:color w:val="auto"/>
          <w:sz w:val="32"/>
          <w:szCs w:val="32"/>
          <w:lang w:eastAsia="zh-CN" w:bidi="zh-TW"/>
        </w:rPr>
        <w:t>六、其他需要报告的事项</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eastAsia="zh-CN"/>
        </w:rPr>
        <w:t>（一）人大代表建议和政协委员提案办理情况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rPr>
      </w:pPr>
      <w:r>
        <w:rPr>
          <w:rFonts w:hint="eastAsia" w:eastAsia="仿宋_GB2312"/>
          <w:color w:val="auto"/>
          <w:sz w:val="32"/>
          <w:szCs w:val="32"/>
          <w:lang w:val="en-US" w:eastAsia="zh-CN"/>
        </w:rPr>
        <w:t>2021年，市中区司法局没有</w:t>
      </w:r>
      <w:r>
        <w:rPr>
          <w:rFonts w:eastAsia="仿宋_GB2312"/>
          <w:color w:val="auto"/>
          <w:sz w:val="32"/>
          <w:szCs w:val="32"/>
          <w:lang w:eastAsia="zh-CN"/>
        </w:rPr>
        <w:t>承办</w:t>
      </w:r>
      <w:r>
        <w:rPr>
          <w:rFonts w:hint="eastAsia" w:eastAsia="仿宋_GB2312"/>
          <w:color w:val="auto"/>
          <w:sz w:val="32"/>
          <w:szCs w:val="32"/>
          <w:lang w:val="en-US" w:eastAsia="zh-CN"/>
        </w:rPr>
        <w:t>区级人大代表建议和区政协委员提案</w:t>
      </w:r>
      <w:r>
        <w:rPr>
          <w:rFonts w:eastAsia="仿宋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eastAsia="仿宋_GB2312"/>
          <w:b w:val="0"/>
          <w:bCs w:val="0"/>
          <w:color w:val="auto"/>
          <w:sz w:val="32"/>
          <w:szCs w:val="32"/>
          <w:lang w:eastAsia="zh-CN"/>
        </w:rPr>
      </w:pPr>
      <w:r>
        <w:rPr>
          <w:rFonts w:hint="eastAsia" w:eastAsia="仿宋_GB2312"/>
          <w:b/>
          <w:bCs/>
          <w:color w:val="auto"/>
          <w:sz w:val="32"/>
          <w:szCs w:val="32"/>
          <w:lang w:eastAsia="zh-CN"/>
        </w:rPr>
        <w:t>（</w:t>
      </w:r>
      <w:r>
        <w:rPr>
          <w:rFonts w:hint="eastAsia" w:eastAsia="仿宋_GB2312"/>
          <w:b/>
          <w:bCs/>
          <w:color w:val="auto"/>
          <w:sz w:val="32"/>
          <w:szCs w:val="32"/>
          <w:lang w:val="en-US" w:eastAsia="zh-CN"/>
        </w:rPr>
        <w:t>二</w:t>
      </w:r>
      <w:r>
        <w:rPr>
          <w:rFonts w:hint="eastAsia" w:eastAsia="仿宋_GB2312"/>
          <w:b/>
          <w:bCs/>
          <w:color w:val="auto"/>
          <w:sz w:val="32"/>
          <w:szCs w:val="32"/>
          <w:lang w:eastAsia="zh-CN"/>
        </w:rPr>
        <w:t>）收取信息处理费的情况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lang w:eastAsia="zh-CN"/>
        </w:rPr>
      </w:pPr>
      <w:r>
        <w:rPr>
          <w:rFonts w:hint="eastAsia" w:ascii="仿宋_GB2312" w:hAnsi="Times New Roman" w:eastAsia="仿宋_GB2312" w:cs="仿宋_GB2312"/>
          <w:color w:val="auto"/>
          <w:sz w:val="32"/>
          <w:szCs w:val="32"/>
          <w:lang w:eastAsia="zh-CN"/>
        </w:rPr>
        <w:t>本年度依申请公开政府信息未收取任何费用。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三</w:t>
      </w:r>
      <w:r>
        <w:rPr>
          <w:rFonts w:hint="eastAsia" w:eastAsia="仿宋_GB2312"/>
          <w:b/>
          <w:bCs/>
          <w:color w:val="auto"/>
          <w:sz w:val="32"/>
          <w:szCs w:val="32"/>
          <w:shd w:val="clear" w:color="auto" w:fill="FFFFFF"/>
          <w:lang w:eastAsia="zh-CN"/>
        </w:rPr>
        <w:t>）</w:t>
      </w:r>
      <w:r>
        <w:rPr>
          <w:rFonts w:hint="eastAsia" w:eastAsia="仿宋_GB2312"/>
          <w:b/>
          <w:bCs/>
          <w:color w:val="auto"/>
          <w:sz w:val="32"/>
          <w:szCs w:val="32"/>
          <w:shd w:val="clear" w:color="auto" w:fill="FFFFFF"/>
          <w:lang w:val="en-US" w:eastAsia="zh-CN"/>
        </w:rPr>
        <w:t>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b/>
          <w:bCs/>
          <w:color w:val="auto"/>
          <w:sz w:val="32"/>
          <w:szCs w:val="32"/>
          <w:shd w:val="clear" w:color="auto" w:fill="FFFFFF"/>
          <w:lang w:val="en-US"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1</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市中区司法局</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枣庄市市中区龙头中路31号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0632-3281128</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szqsfjadmin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begin"/>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instrText xml:space="preserve"> HYPERLINK "mailto:htqzfzwgkk@wf.shandong.cn%E3%80%82" </w:instrTex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separate"/>
      </w:r>
      <w:r>
        <w:rPr>
          <w:rStyle w:val="6"/>
          <w:rFonts w:hint="default" w:ascii="Times New Roman" w:hAnsi="Times New Roman" w:eastAsia="仿宋_GB2312" w:cs="Times New Roman"/>
          <w:i w:val="0"/>
          <w:caps w:val="0"/>
          <w:color w:val="auto"/>
          <w:spacing w:val="0"/>
          <w:sz w:val="32"/>
          <w:szCs w:val="32"/>
          <w:u w:val="none"/>
          <w:shd w:val="clear" w:color="auto" w:fill="FFFFFF"/>
        </w:rPr>
        <w:t>@zz.shandong.cn</w:t>
      </w:r>
      <w:r>
        <w:rPr>
          <w:rFonts w:hint="default" w:ascii="Times New Roman" w:hAnsi="Times New Roman" w:eastAsia="微软雅黑" w:cs="Times New Roman"/>
          <w:i w:val="0"/>
          <w:caps w:val="0"/>
          <w:color w:val="auto"/>
          <w:spacing w:val="8"/>
          <w:kern w:val="0"/>
          <w:sz w:val="24"/>
          <w:szCs w:val="24"/>
          <w:u w:val="none"/>
          <w:shd w:val="clear" w:color="auto" w:fill="FFFFFF"/>
          <w:lang w:val="en-US" w:eastAsia="zh-CN" w:bidi="ar"/>
        </w:rPr>
        <w:fldChar w:fldCharType="end"/>
      </w:r>
      <w:r>
        <w:rPr>
          <w:rFonts w:eastAsia="仿宋_GB2312"/>
          <w:color w:val="auto"/>
          <w:sz w:val="32"/>
          <w:szCs w:val="32"/>
          <w:shd w:val="clear" w:color="auto" w:fill="FFFFFF"/>
          <w:lang w:eastAsia="zh-CN"/>
        </w:rPr>
        <w:t>） 。</w:t>
      </w:r>
    </w:p>
    <w:p>
      <w:pPr>
        <w:keepNext w:val="0"/>
        <w:keepLines w:val="0"/>
        <w:pageBreakBefore w:val="0"/>
        <w:widowControl/>
        <w:kinsoku/>
        <w:wordWrap w:val="0"/>
        <w:overflowPunct/>
        <w:topLinePunct w:val="0"/>
        <w:autoSpaceDE/>
        <w:autoSpaceDN/>
        <w:bidi w:val="0"/>
        <w:adjustRightInd/>
        <w:snapToGrid/>
        <w:spacing w:line="560" w:lineRule="exact"/>
        <w:ind w:firstLine="643" w:firstLineChars="200"/>
        <w:contextualSpacing/>
        <w:jc w:val="center"/>
        <w:textAlignment w:val="auto"/>
        <w:rPr>
          <w:rFonts w:hint="default"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 xml:space="preserve">                                 市中区司法局</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2022年1月 14日</w:t>
      </w:r>
    </w:p>
    <w:p>
      <w:pPr>
        <w:rPr>
          <w:rFonts w:hint="eastAsia" w:eastAsiaTheme="minorEastAsia"/>
          <w:color w:va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62492"/>
    <w:multiLevelType w:val="singleLevel"/>
    <w:tmpl w:val="14C6249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44D761A"/>
    <w:rsid w:val="048F51E3"/>
    <w:rsid w:val="0A3E1141"/>
    <w:rsid w:val="0B8F2AB2"/>
    <w:rsid w:val="0C775313"/>
    <w:rsid w:val="0FDE05B0"/>
    <w:rsid w:val="101A475B"/>
    <w:rsid w:val="138F3671"/>
    <w:rsid w:val="159147ED"/>
    <w:rsid w:val="1AAF71B2"/>
    <w:rsid w:val="1D276D79"/>
    <w:rsid w:val="2007106B"/>
    <w:rsid w:val="229C09FF"/>
    <w:rsid w:val="24B65C7B"/>
    <w:rsid w:val="271F6DB2"/>
    <w:rsid w:val="28BE4FD8"/>
    <w:rsid w:val="2A366FA5"/>
    <w:rsid w:val="2AB112AB"/>
    <w:rsid w:val="2B247393"/>
    <w:rsid w:val="2B7E7F7A"/>
    <w:rsid w:val="2DA262B0"/>
    <w:rsid w:val="2E4C0DE2"/>
    <w:rsid w:val="31251B34"/>
    <w:rsid w:val="32D36BBC"/>
    <w:rsid w:val="3321086E"/>
    <w:rsid w:val="34515A4A"/>
    <w:rsid w:val="347A0310"/>
    <w:rsid w:val="34C27E73"/>
    <w:rsid w:val="372B44B7"/>
    <w:rsid w:val="37DD4F2A"/>
    <w:rsid w:val="3BD87C56"/>
    <w:rsid w:val="3CA63654"/>
    <w:rsid w:val="405A6C83"/>
    <w:rsid w:val="4104699B"/>
    <w:rsid w:val="424E6C95"/>
    <w:rsid w:val="4A263FB9"/>
    <w:rsid w:val="4AE02744"/>
    <w:rsid w:val="4DA853EA"/>
    <w:rsid w:val="58DD10AC"/>
    <w:rsid w:val="5A891C07"/>
    <w:rsid w:val="5AE6494C"/>
    <w:rsid w:val="5EA95810"/>
    <w:rsid w:val="62A02DE5"/>
    <w:rsid w:val="62DF0CAC"/>
    <w:rsid w:val="64490C92"/>
    <w:rsid w:val="64D04568"/>
    <w:rsid w:val="71EE6787"/>
    <w:rsid w:val="72BB477E"/>
    <w:rsid w:val="743334DA"/>
    <w:rsid w:val="754C48A1"/>
    <w:rsid w:val="76725E5B"/>
    <w:rsid w:val="77A816AB"/>
    <w:rsid w:val="77C9668B"/>
    <w:rsid w:val="7BAB1F54"/>
    <w:rsid w:val="7D726BF8"/>
    <w:rsid w:val="7F2D68BD"/>
    <w:rsid w:val="7F740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1131</Words>
  <Characters>6452</Characters>
  <Lines>53</Lines>
  <Paragraphs>15</Paragraphs>
  <TotalTime>3</TotalTime>
  <ScaleCrop>false</ScaleCrop>
  <LinksUpToDate>false</LinksUpToDate>
  <CharactersWithSpaces>7568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lenovo</cp:lastModifiedBy>
  <cp:lastPrinted>2021-11-02T02:00:00Z</cp:lastPrinted>
  <dcterms:modified xsi:type="dcterms:W3CDTF">2022-01-20T03:17:31Z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B13F42B43A6948A8AC116A904AFD5801</vt:lpwstr>
  </property>
</Properties>
</file>