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sz w:val="44"/>
          <w:szCs w:val="44"/>
          <w:lang w:val="en-US" w:eastAsia="zh-CN"/>
        </w:rPr>
        <w:t>市中区发展和改革局</w:t>
      </w:r>
    </w:p>
    <w:p>
      <w:pPr>
        <w:jc w:val="center"/>
        <w:rPr>
          <w:rFonts w:hint="eastAsia" w:ascii="方正小标宋简体" w:eastAsia="方正小标宋简体"/>
          <w:color w:val="auto"/>
          <w:sz w:val="44"/>
          <w:szCs w:val="44"/>
          <w:lang w:eastAsia="zh-CN"/>
        </w:rPr>
      </w:pPr>
      <w:r>
        <w:rPr>
          <w:rFonts w:hint="eastAsia" w:ascii="方正小标宋简体" w:hAnsi="方正小标宋简体" w:eastAsia="方正小标宋简体" w:cs="方正小标宋简体"/>
          <w:b/>
          <w:bCs/>
          <w:color w:val="auto"/>
          <w:sz w:val="44"/>
          <w:szCs w:val="44"/>
          <w:lang w:eastAsia="zh-CN"/>
        </w:rPr>
        <w:t>202</w:t>
      </w:r>
      <w:r>
        <w:rPr>
          <w:rFonts w:hint="eastAsia" w:ascii="方正小标宋简体" w:hAnsi="方正小标宋简体" w:eastAsia="方正小标宋简体" w:cs="方正小标宋简体"/>
          <w:b/>
          <w:bCs/>
          <w:color w:val="auto"/>
          <w:sz w:val="44"/>
          <w:szCs w:val="44"/>
          <w:lang w:val="en-US" w:eastAsia="zh-CN"/>
        </w:rPr>
        <w:t>3</w:t>
      </w:r>
      <w:r>
        <w:rPr>
          <w:rFonts w:hint="eastAsia" w:ascii="方正小标宋简体" w:hAnsi="方正小标宋简体" w:eastAsia="方正小标宋简体" w:cs="方正小标宋简体"/>
          <w:b/>
          <w:bCs/>
          <w:color w:val="auto"/>
          <w:sz w:val="44"/>
          <w:szCs w:val="44"/>
          <w:lang w:eastAsia="zh-CN"/>
        </w:rPr>
        <w:t>年政府信息公开工作年度报告</w:t>
      </w:r>
    </w:p>
    <w:p>
      <w:pPr>
        <w:ind w:firstLine="640" w:firstLineChars="200"/>
        <w:rPr>
          <w:rFonts w:eastAsia="黑体"/>
          <w:color w:val="auto"/>
          <w:sz w:val="32"/>
          <w:szCs w:val="32"/>
          <w:shd w:val="clear" w:color="auto" w:fill="FFFFFF"/>
          <w:lang w:eastAsia="zh-CN"/>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本年度报告根据《中华人民共和国政府信息公开条例》和《国务院办公厅政府信息与政务公开办公室关于印发&lt;中华人民共和国政府信息公开工作年度报告格式&gt;的通知》相关要求编制并向社会公开。本年度报告电子版可从市中区人民政府门户网站（http://www.zzszq.gov.cn/）查阅或下载。本报告所列数据的统计时限自2023年1月1日起至2023年12月31日止。如对本报告有疑问，可与</w:t>
      </w:r>
      <w:r>
        <w:rPr>
          <w:rFonts w:hint="default" w:ascii="Times New Roman" w:hAnsi="Times New Roman" w:eastAsia="仿宋_GB2312" w:cs="Times New Roman"/>
          <w:color w:val="auto"/>
          <w:sz w:val="32"/>
          <w:szCs w:val="32"/>
          <w:shd w:val="clear" w:color="auto" w:fill="FFFFFF"/>
          <w:lang w:val="en-US" w:eastAsia="zh-CN"/>
        </w:rPr>
        <w:t>市中区发展和改革局</w:t>
      </w:r>
      <w:r>
        <w:rPr>
          <w:rFonts w:hint="default" w:ascii="Times New Roman" w:hAnsi="Times New Roman" w:eastAsia="仿宋_GB2312" w:cs="Times New Roman"/>
          <w:color w:val="auto"/>
          <w:sz w:val="32"/>
          <w:szCs w:val="32"/>
          <w:shd w:val="clear" w:color="auto" w:fill="FFFFFF"/>
          <w:lang w:eastAsia="zh-CN"/>
        </w:rPr>
        <w:t>联系（地址:</w:t>
      </w:r>
      <w:r>
        <w:rPr>
          <w:rFonts w:hint="default" w:ascii="Times New Roman" w:hAnsi="Times New Roman" w:eastAsia="仿宋_GB2312" w:cs="Times New Roman"/>
          <w:color w:val="auto"/>
          <w:sz w:val="32"/>
          <w:szCs w:val="32"/>
          <w:shd w:val="clear" w:color="auto" w:fill="FFFFFF"/>
          <w:lang w:val="en-US" w:eastAsia="zh-CN"/>
        </w:rPr>
        <w:t>枣庄市市中区君山路321号</w:t>
      </w:r>
      <w:r>
        <w:rPr>
          <w:rFonts w:hint="default" w:ascii="Times New Roman" w:hAnsi="Times New Roman" w:eastAsia="仿宋_GB2312" w:cs="Times New Roman"/>
          <w:color w:val="auto"/>
          <w:sz w:val="32"/>
          <w:szCs w:val="32"/>
          <w:shd w:val="clear" w:color="auto" w:fill="FFFFFF"/>
          <w:lang w:eastAsia="zh-CN"/>
        </w:rPr>
        <w:t>，邮编：</w:t>
      </w:r>
      <w:r>
        <w:rPr>
          <w:rFonts w:hint="default"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default" w:ascii="Times New Roman" w:hAnsi="Times New Roman" w:eastAsia="仿宋_GB2312" w:cs="Times New Roman"/>
          <w:color w:val="auto"/>
          <w:sz w:val="32"/>
          <w:szCs w:val="32"/>
          <w:shd w:val="clear" w:color="auto" w:fill="FFFFFF"/>
          <w:lang w:val="en-US" w:eastAsia="zh-CN"/>
        </w:rPr>
        <w:t>0632-3392453</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电子邮箱：（szqfgjgg@163.com</w:t>
      </w:r>
      <w:r>
        <w:rPr>
          <w:rFonts w:hint="default" w:ascii="Times New Roman" w:hAnsi="Times New Roman" w:eastAsia="仿宋_GB2312" w:cs="Times New Roman"/>
          <w:color w:val="auto"/>
          <w:sz w:val="32"/>
          <w:szCs w:val="32"/>
          <w:shd w:val="clear" w:color="auto" w:fill="FFFFFF"/>
          <w:lang w:eastAsia="zh-CN"/>
        </w:rPr>
        <w:t>）。</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b/>
          <w:bCs/>
          <w:color w:val="auto"/>
          <w:sz w:val="32"/>
          <w:szCs w:val="32"/>
          <w:shd w:val="clear" w:color="auto" w:fill="FFFFFF"/>
          <w:lang w:val="en-US" w:eastAsia="zh-CN"/>
        </w:rPr>
        <w:t>一、</w:t>
      </w:r>
      <w:r>
        <w:rPr>
          <w:rFonts w:hint="default" w:ascii="Times New Roman" w:hAnsi="Times New Roman" w:eastAsia="黑体" w:cs="Times New Roman"/>
          <w:b/>
          <w:bCs/>
          <w:color w:val="auto"/>
          <w:sz w:val="32"/>
          <w:szCs w:val="32"/>
          <w:shd w:val="clear" w:color="auto" w:fill="FFFFFF"/>
          <w:lang w:eastAsia="zh-CN"/>
        </w:rPr>
        <w:t>总体情况</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textAlignment w:val="auto"/>
        <w:rPr>
          <w:rFonts w:hint="eastAsia" w:ascii="楷体_GB2312" w:hAnsi="楷体_GB2312" w:eastAsia="楷体_GB2312" w:cs="楷体_GB2312"/>
          <w:b/>
          <w:bCs w:val="0"/>
          <w:color w:val="auto"/>
          <w:sz w:val="32"/>
          <w:szCs w:val="32"/>
          <w:lang w:eastAsia="zh-CN"/>
        </w:rPr>
      </w:pPr>
      <w:r>
        <w:rPr>
          <w:rFonts w:hint="eastAsia" w:ascii="楷体_GB2312" w:hAnsi="楷体_GB2312" w:eastAsia="楷体_GB2312" w:cs="楷体_GB2312"/>
          <w:b/>
          <w:bCs w:val="0"/>
          <w:color w:val="auto"/>
          <w:sz w:val="32"/>
          <w:szCs w:val="32"/>
          <w:lang w:val="en-US" w:eastAsia="zh-CN"/>
        </w:rPr>
        <w:t>（一）</w:t>
      </w:r>
      <w:r>
        <w:rPr>
          <w:rFonts w:hint="eastAsia" w:ascii="楷体_GB2312" w:hAnsi="楷体_GB2312" w:eastAsia="楷体_GB2312" w:cs="楷体_GB2312"/>
          <w:b/>
          <w:bCs w:val="0"/>
          <w:color w:val="auto"/>
          <w:sz w:val="32"/>
          <w:szCs w:val="32"/>
          <w:lang w:eastAsia="zh-CN"/>
        </w:rPr>
        <w:t>主动公开</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Cs/>
          <w:color w:val="auto"/>
          <w:sz w:val="32"/>
          <w:szCs w:val="32"/>
          <w:lang w:val="en-US" w:eastAsia="zh-CN"/>
        </w:rPr>
      </w:pPr>
      <w:r>
        <w:rPr>
          <w:rFonts w:hint="default" w:ascii="Times New Roman" w:hAnsi="Times New Roman" w:eastAsia="仿宋_GB2312" w:cs="Times New Roman"/>
          <w:bCs/>
          <w:color w:val="auto"/>
          <w:sz w:val="32"/>
          <w:szCs w:val="32"/>
          <w:lang w:val="en-US" w:eastAsia="zh-CN"/>
        </w:rPr>
        <w:t>2023年，</w:t>
      </w:r>
      <w:r>
        <w:rPr>
          <w:rFonts w:hint="default" w:ascii="Times New Roman" w:hAnsi="Times New Roman" w:eastAsia="仿宋_GB2312" w:cs="Times New Roman"/>
          <w:color w:val="auto"/>
          <w:sz w:val="32"/>
          <w:szCs w:val="32"/>
          <w:shd w:val="clear" w:color="auto" w:fill="FFFFFF"/>
          <w:lang w:val="en-US" w:eastAsia="zh-CN"/>
        </w:rPr>
        <w:t>市中</w:t>
      </w:r>
      <w:r>
        <w:rPr>
          <w:rFonts w:hint="default" w:ascii="Times New Roman" w:hAnsi="Times New Roman" w:eastAsia="仿宋_GB2312" w:cs="Times New Roman"/>
          <w:bCs/>
          <w:color w:val="auto"/>
          <w:sz w:val="32"/>
          <w:szCs w:val="32"/>
          <w:lang w:val="en-US" w:eastAsia="zh-CN"/>
        </w:rPr>
        <w:t>区发展和改革局围绕经济发展、产业政策和群众关心的水、电、气价格问题等，严格按照政府信息公开工作要求的方式、程序、形式和时间规定，及时公开重点工作任务落实和惠民利企政策。主动公开信息423条，其中在区政府门户网站公开189条，政务新媒体公开223条，其他渠道公开11条。</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textAlignment w:val="auto"/>
        <w:rPr>
          <w:rFonts w:hint="eastAsia" w:ascii="楷体_GB2312" w:hAnsi="楷体_GB2312" w:eastAsia="楷体_GB2312" w:cs="楷体_GB2312"/>
          <w:b/>
          <w:bCs w:val="0"/>
          <w:color w:val="auto"/>
          <w:sz w:val="32"/>
          <w:szCs w:val="32"/>
          <w:lang w:eastAsia="zh-CN"/>
        </w:rPr>
      </w:pPr>
      <w:r>
        <w:rPr>
          <w:rFonts w:hint="eastAsia" w:ascii="楷体_GB2312" w:hAnsi="楷体_GB2312" w:eastAsia="楷体_GB2312" w:cs="楷体_GB2312"/>
          <w:b/>
          <w:bCs w:val="0"/>
          <w:color w:val="auto"/>
          <w:sz w:val="32"/>
          <w:szCs w:val="32"/>
          <w:lang w:val="en-US" w:eastAsia="zh-CN"/>
        </w:rPr>
        <w:t>（二）</w:t>
      </w:r>
      <w:r>
        <w:rPr>
          <w:rFonts w:hint="eastAsia" w:ascii="楷体_GB2312" w:hAnsi="楷体_GB2312" w:eastAsia="楷体_GB2312" w:cs="楷体_GB2312"/>
          <w:b/>
          <w:bCs w:val="0"/>
          <w:color w:val="auto"/>
          <w:sz w:val="32"/>
          <w:szCs w:val="32"/>
          <w:lang w:eastAsia="zh-CN"/>
        </w:rPr>
        <w:t>依申请公开</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shd w:val="clear" w:color="auto" w:fill="FFFFFF"/>
          <w:lang w:eastAsia="zh-CN"/>
        </w:rPr>
      </w:pPr>
      <w:r>
        <w:rPr>
          <w:rFonts w:hint="eastAsia" w:eastAsia="仿宋_GB2312" w:cs="Times New Roman"/>
          <w:color w:val="auto"/>
          <w:sz w:val="32"/>
          <w:szCs w:val="32"/>
          <w:shd w:val="clear" w:color="auto" w:fill="FFFFFF"/>
          <w:lang w:val="en-US" w:eastAsia="zh-CN"/>
        </w:rPr>
        <w:t>1.</w:t>
      </w:r>
      <w:r>
        <w:rPr>
          <w:rFonts w:hint="default" w:ascii="Times New Roman" w:hAnsi="Times New Roman" w:eastAsia="仿宋_GB2312" w:cs="Times New Roman"/>
          <w:color w:val="auto"/>
          <w:sz w:val="32"/>
          <w:szCs w:val="32"/>
          <w:shd w:val="clear" w:color="auto" w:fill="FFFFFF"/>
          <w:lang w:eastAsia="zh-CN"/>
        </w:rPr>
        <w:t>做好依申请公开工作，依法保障民众的知情权、参与权、表达权、监督权。202</w:t>
      </w:r>
      <w:r>
        <w:rPr>
          <w:rFonts w:hint="default" w:ascii="Times New Roman" w:hAnsi="Times New Roman" w:eastAsia="仿宋_GB2312" w:cs="Times New Roman"/>
          <w:color w:val="auto"/>
          <w:sz w:val="32"/>
          <w:szCs w:val="32"/>
          <w:shd w:val="clear" w:color="auto" w:fill="FFFFFF"/>
          <w:lang w:val="en-US" w:eastAsia="zh-CN"/>
        </w:rPr>
        <w:t>3</w:t>
      </w:r>
      <w:r>
        <w:rPr>
          <w:rFonts w:hint="default" w:ascii="Times New Roman" w:hAnsi="Times New Roman" w:eastAsia="仿宋_GB2312" w:cs="Times New Roman"/>
          <w:color w:val="auto"/>
          <w:sz w:val="32"/>
          <w:szCs w:val="32"/>
          <w:shd w:val="clear" w:color="auto" w:fill="FFFFFF"/>
          <w:lang w:eastAsia="zh-CN"/>
        </w:rPr>
        <w:t>年共受理政府信息公开申请</w:t>
      </w:r>
      <w:r>
        <w:rPr>
          <w:rFonts w:hint="default" w:ascii="Times New Roman" w:hAnsi="Times New Roman" w:eastAsia="仿宋_GB2312" w:cs="Times New Roman"/>
          <w:color w:val="auto"/>
          <w:sz w:val="32"/>
          <w:szCs w:val="32"/>
          <w:shd w:val="clear" w:color="auto" w:fill="FFFFFF"/>
          <w:lang w:val="en-US" w:eastAsia="zh-CN"/>
        </w:rPr>
        <w:t>15</w:t>
      </w:r>
      <w:r>
        <w:rPr>
          <w:rFonts w:hint="default" w:ascii="Times New Roman" w:hAnsi="Times New Roman" w:eastAsia="仿宋_GB2312" w:cs="Times New Roman"/>
          <w:color w:val="auto"/>
          <w:sz w:val="32"/>
          <w:szCs w:val="32"/>
          <w:shd w:val="clear" w:color="auto" w:fill="FFFFFF"/>
          <w:lang w:eastAsia="zh-CN"/>
        </w:rPr>
        <w:t>件，均在法定期限内予以答复。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shd w:val="clear" w:color="auto" w:fill="FFFFFF"/>
          <w:lang w:eastAsia="zh-CN"/>
        </w:rPr>
      </w:pPr>
      <w:r>
        <w:rPr>
          <w:rFonts w:hint="eastAsia" w:eastAsia="仿宋_GB2312" w:cs="Times New Roman"/>
          <w:color w:val="auto"/>
          <w:sz w:val="32"/>
          <w:szCs w:val="32"/>
          <w:shd w:val="clear" w:color="auto" w:fill="FFFFFF"/>
          <w:lang w:val="en-US" w:eastAsia="zh-CN"/>
        </w:rPr>
        <w:t>2.</w:t>
      </w:r>
      <w:r>
        <w:rPr>
          <w:rFonts w:hint="default" w:ascii="Times New Roman" w:hAnsi="Times New Roman" w:eastAsia="仿宋_GB2312" w:cs="Times New Roman"/>
          <w:color w:val="auto"/>
          <w:sz w:val="32"/>
          <w:szCs w:val="32"/>
          <w:shd w:val="clear" w:color="auto" w:fill="FFFFFF"/>
          <w:lang w:eastAsia="zh-CN"/>
        </w:rPr>
        <w:t>本年度依申请公开政府信息未收取任何费用。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shd w:val="clear" w:color="auto" w:fill="FFFFFF"/>
          <w:lang w:val="en-US" w:eastAsia="zh-CN"/>
        </w:rPr>
        <w:t>3.</w:t>
      </w:r>
      <w:r>
        <w:rPr>
          <w:rFonts w:hint="default" w:ascii="Times New Roman" w:hAnsi="Times New Roman" w:eastAsia="仿宋_GB2312" w:cs="Times New Roman"/>
          <w:color w:val="auto"/>
          <w:sz w:val="32"/>
          <w:szCs w:val="32"/>
          <w:shd w:val="clear" w:color="auto" w:fill="FFFFFF"/>
          <w:lang w:eastAsia="zh-CN"/>
        </w:rPr>
        <w:t>本年度未发生因政府信息公开导致的行政复议及行政诉讼。</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val="0"/>
          <w:color w:val="auto"/>
          <w:sz w:val="32"/>
          <w:szCs w:val="32"/>
          <w:lang w:eastAsia="zh-CN"/>
        </w:rPr>
      </w:pPr>
      <w:r>
        <w:rPr>
          <w:rFonts w:hint="eastAsia" w:ascii="楷体_GB2312" w:hAnsi="楷体_GB2312" w:eastAsia="楷体_GB2312" w:cs="楷体_GB2312"/>
          <w:b/>
          <w:bCs w:val="0"/>
          <w:color w:val="auto"/>
          <w:sz w:val="32"/>
          <w:szCs w:val="32"/>
          <w:lang w:val="en-US" w:eastAsia="zh-CN"/>
        </w:rPr>
        <w:t>（三）</w:t>
      </w:r>
      <w:r>
        <w:rPr>
          <w:rFonts w:hint="eastAsia" w:ascii="楷体_GB2312" w:hAnsi="楷体_GB2312" w:eastAsia="楷体_GB2312" w:cs="楷体_GB2312"/>
          <w:b/>
          <w:bCs w:val="0"/>
          <w:color w:val="auto"/>
          <w:sz w:val="32"/>
          <w:szCs w:val="32"/>
          <w:lang w:eastAsia="zh-CN"/>
        </w:rPr>
        <w:t>政府信息管理</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eastAsia="zh-CN" w:bidi="en-US"/>
        </w:rPr>
      </w:pPr>
      <w:r>
        <w:rPr>
          <w:rFonts w:hint="default" w:ascii="Times New Roman" w:hAnsi="Times New Roman" w:eastAsia="仿宋_GB2312" w:cs="Times New Roman"/>
          <w:b w:val="0"/>
          <w:bCs w:val="0"/>
          <w:color w:val="auto"/>
          <w:kern w:val="0"/>
          <w:sz w:val="32"/>
          <w:szCs w:val="32"/>
          <w:shd w:val="clear" w:color="auto" w:fill="FFFFFF"/>
          <w:lang w:eastAsia="zh-CN" w:bidi="en-US"/>
        </w:rPr>
        <w:t>一是</w:t>
      </w:r>
      <w:r>
        <w:rPr>
          <w:rFonts w:hint="default" w:ascii="Times New Roman" w:hAnsi="Times New Roman" w:eastAsia="仿宋_GB2312" w:cs="Times New Roman"/>
          <w:b w:val="0"/>
          <w:bCs w:val="0"/>
          <w:color w:val="auto"/>
          <w:kern w:val="0"/>
          <w:sz w:val="32"/>
          <w:szCs w:val="32"/>
          <w:shd w:val="clear" w:color="auto" w:fill="FFFFFF"/>
          <w:lang w:val="en-US" w:eastAsia="zh-CN" w:bidi="en-US"/>
        </w:rPr>
        <w:t>严格</w:t>
      </w:r>
      <w:r>
        <w:rPr>
          <w:rFonts w:hint="default" w:ascii="Times New Roman" w:hAnsi="Times New Roman" w:eastAsia="仿宋_GB2312" w:cs="Times New Roman"/>
          <w:b w:val="0"/>
          <w:bCs w:val="0"/>
          <w:color w:val="auto"/>
          <w:kern w:val="0"/>
          <w:sz w:val="32"/>
          <w:szCs w:val="32"/>
          <w:shd w:val="clear" w:color="auto" w:fill="FFFFFF"/>
          <w:lang w:eastAsia="zh-CN" w:bidi="en-US"/>
        </w:rPr>
        <w:t>信息公开</w:t>
      </w:r>
      <w:r>
        <w:rPr>
          <w:rFonts w:hint="default" w:ascii="Times New Roman" w:hAnsi="Times New Roman" w:eastAsia="仿宋_GB2312" w:cs="Times New Roman"/>
          <w:b w:val="0"/>
          <w:bCs w:val="0"/>
          <w:color w:val="auto"/>
          <w:kern w:val="0"/>
          <w:sz w:val="32"/>
          <w:szCs w:val="32"/>
          <w:shd w:val="clear" w:color="auto" w:fill="FFFFFF"/>
          <w:lang w:val="en-US" w:eastAsia="zh-CN" w:bidi="en-US"/>
        </w:rPr>
        <w:t>审核流程</w:t>
      </w:r>
      <w:r>
        <w:rPr>
          <w:rFonts w:hint="default" w:ascii="Times New Roman" w:hAnsi="Times New Roman" w:eastAsia="仿宋_GB2312" w:cs="Times New Roman"/>
          <w:b w:val="0"/>
          <w:bCs w:val="0"/>
          <w:color w:val="auto"/>
          <w:kern w:val="0"/>
          <w:sz w:val="32"/>
          <w:szCs w:val="32"/>
          <w:shd w:val="clear" w:color="auto" w:fill="FFFFFF"/>
          <w:lang w:eastAsia="zh-CN" w:bidi="en-US"/>
        </w:rPr>
        <w:t>。明确工作主体、公开范围、依申请公开、保密审查等事项。严格执行审查制度，对拟公开信息进行保密性审查、内容审核、文字校对，确保公开信息表述准确，避免发生信息泄露情况。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二是更加完善信息工作制度。全年围绕发展规划、产业政策、项目建设、安全生产、粮食安全、民生实事等重点问题进行主动回应，丰富政务公开信息内容，突出政府工作重点。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val="0"/>
          <w:color w:val="auto"/>
          <w:sz w:val="32"/>
          <w:szCs w:val="32"/>
          <w:lang w:eastAsia="zh-CN"/>
        </w:rPr>
      </w:pPr>
      <w:r>
        <w:rPr>
          <w:rFonts w:hint="eastAsia" w:ascii="楷体_GB2312" w:hAnsi="楷体_GB2312" w:eastAsia="楷体_GB2312" w:cs="楷体_GB2312"/>
          <w:b/>
          <w:bCs w:val="0"/>
          <w:color w:val="auto"/>
          <w:sz w:val="32"/>
          <w:szCs w:val="32"/>
          <w:lang w:val="en-US" w:eastAsia="zh-CN"/>
        </w:rPr>
        <w:t>（四）政府信息公开</w:t>
      </w:r>
      <w:r>
        <w:rPr>
          <w:rFonts w:hint="eastAsia" w:ascii="楷体_GB2312" w:hAnsi="楷体_GB2312" w:eastAsia="楷体_GB2312" w:cs="楷体_GB2312"/>
          <w:b/>
          <w:bCs w:val="0"/>
          <w:color w:val="auto"/>
          <w:sz w:val="32"/>
          <w:szCs w:val="32"/>
          <w:lang w:eastAsia="zh-CN"/>
        </w:rPr>
        <w:t>平台建设</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textAlignment w:val="auto"/>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shd w:val="clear" w:color="auto" w:fill="FFFFFF"/>
          <w:lang w:eastAsia="zh-CN"/>
        </w:rPr>
        <w:t>依托“</w:t>
      </w:r>
      <w:r>
        <w:rPr>
          <w:rFonts w:hint="default" w:ascii="Times New Roman" w:hAnsi="Times New Roman" w:eastAsia="仿宋_GB2312" w:cs="Times New Roman"/>
          <w:color w:val="auto"/>
          <w:sz w:val="32"/>
          <w:szCs w:val="32"/>
          <w:shd w:val="clear" w:color="auto" w:fill="FFFFFF"/>
          <w:lang w:val="en-US" w:eastAsia="zh-CN"/>
        </w:rPr>
        <w:t>枣庄市市中区人民政府</w:t>
      </w:r>
      <w:r>
        <w:rPr>
          <w:rFonts w:hint="default" w:ascii="Times New Roman" w:hAnsi="Times New Roman" w:eastAsia="仿宋_GB2312" w:cs="Times New Roman"/>
          <w:color w:val="auto"/>
          <w:sz w:val="32"/>
          <w:szCs w:val="32"/>
          <w:shd w:val="clear" w:color="auto" w:fill="FFFFFF"/>
          <w:lang w:eastAsia="zh-CN"/>
        </w:rPr>
        <w:t>网站”“</w:t>
      </w:r>
      <w:r>
        <w:rPr>
          <w:rFonts w:hint="default" w:ascii="Times New Roman" w:hAnsi="Times New Roman" w:eastAsia="仿宋_GB2312" w:cs="Times New Roman"/>
          <w:color w:val="auto"/>
          <w:sz w:val="32"/>
          <w:szCs w:val="32"/>
          <w:shd w:val="clear" w:color="auto" w:fill="FFFFFF"/>
          <w:lang w:val="en-US" w:eastAsia="zh-CN"/>
        </w:rPr>
        <w:t>政府信息公开专栏</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政务新媒体</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市中发改微信公众号</w:t>
      </w:r>
      <w:r>
        <w:rPr>
          <w:rFonts w:hint="default" w:ascii="Times New Roman" w:hAnsi="Times New Roman" w:eastAsia="仿宋_GB2312" w:cs="Times New Roman"/>
          <w:color w:val="auto"/>
          <w:sz w:val="32"/>
          <w:szCs w:val="32"/>
          <w:shd w:val="clear" w:color="auto" w:fill="FFFFFF"/>
          <w:lang w:eastAsia="zh-CN"/>
        </w:rPr>
        <w:t>”等平台发布信息，推动政务公开信息向不同群体精准推送，提升群众获取政府信息的便利度和幸福感。</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textAlignment w:val="auto"/>
        <w:rPr>
          <w:rFonts w:hint="eastAsia" w:ascii="楷体_GB2312" w:hAnsi="楷体_GB2312" w:eastAsia="楷体_GB2312" w:cs="楷体_GB2312"/>
          <w:b/>
          <w:bCs/>
          <w:color w:val="auto"/>
          <w:sz w:val="32"/>
          <w:szCs w:val="32"/>
          <w:lang w:eastAsia="zh-CN" w:bidi="ar-SA"/>
        </w:rPr>
      </w:pPr>
      <w:r>
        <w:rPr>
          <w:rFonts w:hint="eastAsia" w:ascii="楷体_GB2312" w:hAnsi="楷体_GB2312" w:eastAsia="楷体_GB2312" w:cs="楷体_GB2312"/>
          <w:b/>
          <w:bCs/>
          <w:color w:val="auto"/>
          <w:sz w:val="32"/>
          <w:szCs w:val="32"/>
          <w:lang w:val="en-US" w:eastAsia="zh-CN" w:bidi="ar-SA"/>
        </w:rPr>
        <w:t>（五）</w:t>
      </w:r>
      <w:r>
        <w:rPr>
          <w:rFonts w:hint="eastAsia" w:ascii="楷体_GB2312" w:hAnsi="楷体_GB2312" w:eastAsia="楷体_GB2312" w:cs="楷体_GB2312"/>
          <w:b/>
          <w:bCs/>
          <w:color w:val="auto"/>
          <w:sz w:val="32"/>
          <w:szCs w:val="32"/>
          <w:lang w:eastAsia="zh-CN" w:bidi="ar-SA"/>
        </w:rPr>
        <w:t>监督保障</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kern w:val="0"/>
          <w:sz w:val="32"/>
          <w:szCs w:val="32"/>
          <w:lang w:val="en-US" w:eastAsia="zh-CN" w:bidi="en-US"/>
        </w:rPr>
      </w:pPr>
      <w:r>
        <w:rPr>
          <w:rFonts w:hint="default" w:ascii="Times New Roman" w:hAnsi="Times New Roman" w:eastAsia="仿宋_GB2312" w:cs="Times New Roman"/>
          <w:b w:val="0"/>
          <w:bCs w:val="0"/>
          <w:color w:val="auto"/>
          <w:kern w:val="0"/>
          <w:sz w:val="32"/>
          <w:szCs w:val="32"/>
          <w:lang w:val="en-US" w:eastAsia="zh-CN" w:bidi="en-US"/>
        </w:rPr>
        <w:t>建立了领导小组，安排专人负责全局信息公开维护和更新，并认真做好年度报告编制、年度信息公开统计报表和政府网站年度报表等数据统计和报送工作。把政务公开工作纳入议事日程，明确信息公开的内容、形式和具体措施，制定切实可行的实施方案。</w:t>
      </w:r>
    </w:p>
    <w:p>
      <w:pPr>
        <w:pStyle w:val="9"/>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黑体" w:cs="Times New Roman"/>
          <w:b/>
          <w:bCs w:val="0"/>
          <w:color w:val="auto"/>
          <w:sz w:val="32"/>
          <w:szCs w:val="32"/>
        </w:rPr>
      </w:pPr>
      <w:r>
        <w:rPr>
          <w:rFonts w:hint="default" w:ascii="Times New Roman" w:hAnsi="Times New Roman" w:eastAsia="黑体" w:cs="Times New Roman"/>
          <w:b/>
          <w:bCs w:val="0"/>
          <w:color w:val="auto"/>
          <w:sz w:val="32"/>
          <w:szCs w:val="32"/>
          <w:lang w:val="en-US" w:eastAsia="zh-CN"/>
        </w:rPr>
        <w:t>二、</w:t>
      </w:r>
      <w:r>
        <w:rPr>
          <w:rFonts w:hint="default" w:ascii="Times New Roman" w:hAnsi="Times New Roman" w:eastAsia="黑体" w:cs="Times New Roman"/>
          <w:b/>
          <w:bCs w:val="0"/>
          <w:color w:val="auto"/>
          <w:sz w:val="32"/>
          <w:szCs w:val="32"/>
        </w:rPr>
        <w:t>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ind w:left="0" w:leftChars="0" w:right="0" w:rightChars="0" w:firstLine="0" w:firstLineChars="0"/>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ind w:left="0" w:leftChars="0" w:right="0" w:rightChars="0" w:firstLine="0" w:firstLineChars="0"/>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ind w:left="0" w:leftChars="0" w:right="0" w:rightChars="0" w:firstLine="0" w:firstLineChars="0"/>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ind w:left="0" w:leftChars="0" w:right="0" w:rightChars="0" w:firstLine="0" w:firstLineChars="0"/>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ind w:left="0" w:leftChars="0" w:right="0" w:rightChars="0" w:firstLine="0" w:firstLineChars="0"/>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ind w:left="0" w:leftChars="0" w:right="0" w:rightChars="0" w:firstLine="0" w:firstLineChars="0"/>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ind w:left="0" w:leftChars="0" w:right="0" w:rightChars="0" w:firstLine="0" w:firstLineChars="0"/>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ind w:left="0" w:leftChars="0" w:right="0" w:rightChars="0" w:firstLine="0" w:firstLineChars="0"/>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ind w:left="0" w:leftChars="0" w:right="0" w:rightChars="0" w:firstLine="0" w:firstLineChars="0"/>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ind w:left="0" w:leftChars="0" w:right="0" w:rightChars="0" w:firstLine="0" w:firstLineChars="0"/>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bl>
    <w:p>
      <w:pPr>
        <w:pStyle w:val="9"/>
        <w:keepNext w:val="0"/>
        <w:keepLines w:val="0"/>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
          <w:bCs w:val="0"/>
          <w:color w:val="auto"/>
          <w:sz w:val="32"/>
          <w:szCs w:val="32"/>
          <w:lang w:val="en-US" w:eastAsia="zh-CN"/>
        </w:rPr>
        <w:t>三、</w:t>
      </w:r>
      <w:r>
        <w:rPr>
          <w:rFonts w:hint="default" w:ascii="Times New Roman" w:hAnsi="Times New Roman" w:eastAsia="黑体" w:cs="Times New Roman"/>
          <w:b/>
          <w:bCs w:val="0"/>
          <w:color w:val="auto"/>
          <w:sz w:val="32"/>
          <w:szCs w:val="32"/>
        </w:rPr>
        <w:t>收到和处理政府信息公开申请情况</w:t>
      </w:r>
    </w:p>
    <w:tbl>
      <w:tblPr>
        <w:tblStyle w:val="4"/>
        <w:tblW w:w="9913"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hint="default" w:ascii="Times New Roman" w:hAnsi="Times New Roman" w:eastAsia="楷体_GB2312" w:cs="Times New Roman"/>
                <w:kern w:val="0"/>
                <w:sz w:val="21"/>
                <w:szCs w:val="21"/>
                <w:lang w:eastAsia="zh-CN" w:bidi="ar-SA"/>
              </w:rPr>
            </w:pPr>
            <w:r>
              <w:rPr>
                <w:rFonts w:hint="default" w:ascii="Times New Roman" w:hAnsi="Times New Roman" w:eastAsia="楷体_GB2312" w:cs="Times New Roman"/>
                <w:kern w:val="0"/>
                <w:sz w:val="21"/>
                <w:szCs w:val="21"/>
                <w:lang w:eastAsia="zh-CN" w:bidi="ar-SA"/>
              </w:rPr>
              <w:t>（本列数据的勾稽关系为：第一项加第二项之和，</w:t>
            </w:r>
          </w:p>
          <w:p>
            <w:pPr>
              <w:widowControl/>
              <w:jc w:val="center"/>
              <w:rPr>
                <w:rFonts w:hint="default" w:ascii="Times New Roman" w:hAnsi="Times New Roman" w:eastAsia="仿宋_GB2312" w:cs="Times New Roman"/>
                <w:kern w:val="2"/>
                <w:sz w:val="21"/>
                <w:szCs w:val="21"/>
                <w:lang w:eastAsia="zh-CN" w:bidi="ar-SA"/>
              </w:rPr>
            </w:pPr>
            <w:r>
              <w:rPr>
                <w:rFonts w:hint="default" w:ascii="Times New Roman" w:hAnsi="Times New Roman" w:eastAsia="楷体_GB2312" w:cs="Times New Roman"/>
                <w:kern w:val="0"/>
                <w:sz w:val="21"/>
                <w:szCs w:val="21"/>
                <w:lang w:eastAsia="zh-CN" w:bidi="ar-SA"/>
              </w:rPr>
              <w:t>等于第三项加第四项之和）</w:t>
            </w:r>
          </w:p>
        </w:tc>
        <w:tc>
          <w:tcPr>
            <w:tcW w:w="4820" w:type="dxa"/>
            <w:gridSpan w:val="7"/>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hint="default" w:ascii="Times New Roman" w:hAnsi="Times New Roman" w:eastAsia="仿宋_GB2312" w:cs="Times New Roman"/>
                <w:kern w:val="2"/>
                <w:sz w:val="21"/>
                <w:szCs w:val="21"/>
                <w:lang w:eastAsia="zh-CN" w:bidi="ar-SA"/>
              </w:rPr>
            </w:pPr>
          </w:p>
        </w:tc>
        <w:tc>
          <w:tcPr>
            <w:tcW w:w="829" w:type="dxa"/>
            <w:vMerge w:val="restart"/>
            <w:shd w:val="clear" w:color="auto" w:fill="auto"/>
            <w:tcMar>
              <w:left w:w="108" w:type="dxa"/>
              <w:right w:w="108" w:type="dxa"/>
            </w:tcMar>
            <w:vAlign w:val="center"/>
          </w:tcPr>
          <w:p>
            <w:pPr>
              <w:widowControl/>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自然人</w:t>
            </w:r>
          </w:p>
        </w:tc>
        <w:tc>
          <w:tcPr>
            <w:tcW w:w="3140" w:type="dxa"/>
            <w:gridSpan w:val="5"/>
            <w:shd w:val="clear" w:color="auto" w:fill="auto"/>
            <w:tcMar>
              <w:left w:w="108" w:type="dxa"/>
              <w:right w:w="108" w:type="dxa"/>
            </w:tcMar>
            <w:vAlign w:val="center"/>
          </w:tcPr>
          <w:p>
            <w:pPr>
              <w:widowControl/>
              <w:spacing w:line="320" w:lineRule="exact"/>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法人或其他组织</w:t>
            </w:r>
          </w:p>
        </w:tc>
        <w:tc>
          <w:tcPr>
            <w:tcW w:w="851" w:type="dxa"/>
            <w:vMerge w:val="restart"/>
            <w:shd w:val="clear" w:color="auto" w:fill="auto"/>
            <w:tcMar>
              <w:left w:w="108" w:type="dxa"/>
              <w:right w:w="108" w:type="dxa"/>
            </w:tcMar>
            <w:vAlign w:val="center"/>
          </w:tcPr>
          <w:p>
            <w:pPr>
              <w:widowControl/>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hint="default" w:ascii="Times New Roman" w:hAnsi="Times New Roman" w:eastAsia="仿宋_GB2312" w:cs="Times New Roman"/>
                <w:kern w:val="2"/>
                <w:sz w:val="21"/>
                <w:szCs w:val="21"/>
                <w:lang w:eastAsia="zh-CN" w:bidi="ar-SA"/>
              </w:rPr>
            </w:pPr>
          </w:p>
        </w:tc>
        <w:tc>
          <w:tcPr>
            <w:tcW w:w="829" w:type="dxa"/>
            <w:vMerge w:val="continue"/>
            <w:shd w:val="clear" w:color="auto" w:fill="auto"/>
            <w:tcMar>
              <w:left w:w="108" w:type="dxa"/>
              <w:right w:w="108" w:type="dxa"/>
            </w:tcMar>
            <w:vAlign w:val="center"/>
          </w:tcPr>
          <w:p>
            <w:pPr>
              <w:jc w:val="center"/>
              <w:rPr>
                <w:rFonts w:hint="default" w:ascii="Times New Roman" w:hAnsi="Times New Roman" w:eastAsia="黑体" w:cs="Times New Roman"/>
                <w:kern w:val="2"/>
                <w:sz w:val="21"/>
                <w:szCs w:val="21"/>
                <w:lang w:eastAsia="zh-CN" w:bidi="ar-SA"/>
              </w:rPr>
            </w:pPr>
          </w:p>
        </w:tc>
        <w:tc>
          <w:tcPr>
            <w:tcW w:w="567" w:type="dxa"/>
            <w:shd w:val="clear" w:color="auto" w:fill="auto"/>
            <w:tcMar>
              <w:left w:w="108" w:type="dxa"/>
              <w:right w:w="108" w:type="dxa"/>
            </w:tcMar>
            <w:vAlign w:val="center"/>
          </w:tcPr>
          <w:p>
            <w:pPr>
              <w:widowControl/>
              <w:spacing w:line="320" w:lineRule="exact"/>
              <w:ind w:left="-121" w:leftChars="-51" w:right="-122" w:rightChars="-51" w:hanging="1"/>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商业企业</w:t>
            </w:r>
          </w:p>
        </w:tc>
        <w:tc>
          <w:tcPr>
            <w:tcW w:w="567" w:type="dxa"/>
            <w:shd w:val="clear" w:color="auto" w:fill="auto"/>
            <w:tcMar>
              <w:left w:w="108" w:type="dxa"/>
              <w:right w:w="108" w:type="dxa"/>
            </w:tcMar>
            <w:vAlign w:val="center"/>
          </w:tcPr>
          <w:p>
            <w:pPr>
              <w:widowControl/>
              <w:spacing w:line="320" w:lineRule="exact"/>
              <w:ind w:left="-122" w:leftChars="-51" w:right="-122" w:rightChars="-51"/>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科研机构</w:t>
            </w:r>
          </w:p>
        </w:tc>
        <w:tc>
          <w:tcPr>
            <w:tcW w:w="731" w:type="dxa"/>
            <w:shd w:val="clear" w:color="auto" w:fill="auto"/>
            <w:tcMar>
              <w:left w:w="108" w:type="dxa"/>
              <w:right w:w="108" w:type="dxa"/>
            </w:tcMar>
            <w:vAlign w:val="center"/>
          </w:tcPr>
          <w:p>
            <w:pPr>
              <w:widowControl/>
              <w:spacing w:line="320" w:lineRule="exact"/>
              <w:ind w:left="-122" w:leftChars="-51" w:right="-122" w:rightChars="-51"/>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社会公益组织</w:t>
            </w:r>
          </w:p>
        </w:tc>
        <w:tc>
          <w:tcPr>
            <w:tcW w:w="708" w:type="dxa"/>
            <w:shd w:val="clear" w:color="auto" w:fill="auto"/>
            <w:tcMar>
              <w:left w:w="108" w:type="dxa"/>
              <w:right w:w="108" w:type="dxa"/>
            </w:tcMar>
            <w:vAlign w:val="center"/>
          </w:tcPr>
          <w:p>
            <w:pPr>
              <w:widowControl/>
              <w:spacing w:line="320" w:lineRule="exact"/>
              <w:ind w:left="-121" w:leftChars="-51" w:right="-122" w:rightChars="-51" w:hanging="1"/>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法律服务机构</w:t>
            </w:r>
          </w:p>
        </w:tc>
        <w:tc>
          <w:tcPr>
            <w:tcW w:w="567" w:type="dxa"/>
            <w:shd w:val="clear" w:color="auto" w:fill="auto"/>
            <w:tcMar>
              <w:left w:w="108" w:type="dxa"/>
              <w:right w:w="108" w:type="dxa"/>
            </w:tcMar>
            <w:vAlign w:val="center"/>
          </w:tcPr>
          <w:p>
            <w:pPr>
              <w:widowControl/>
              <w:spacing w:line="360" w:lineRule="exact"/>
              <w:ind w:left="-72" w:leftChars="-30" w:right="-154" w:rightChars="-64"/>
              <w:jc w:val="center"/>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其他</w:t>
            </w:r>
          </w:p>
        </w:tc>
        <w:tc>
          <w:tcPr>
            <w:tcW w:w="851" w:type="dxa"/>
            <w:vMerge w:val="continue"/>
            <w:shd w:val="clear" w:color="auto" w:fill="auto"/>
            <w:tcMar>
              <w:left w:w="108" w:type="dxa"/>
              <w:right w:w="108" w:type="dxa"/>
            </w:tcMar>
            <w:vAlign w:val="center"/>
          </w:tcPr>
          <w:p>
            <w:pPr>
              <w:jc w:val="center"/>
              <w:rPr>
                <w:rFonts w:hint="default" w:ascii="Times New Roman" w:hAnsi="Times New Roman" w:eastAsia="仿宋_GB2312" w:cs="Times New Roman"/>
                <w:kern w:val="2"/>
                <w:sz w:val="21"/>
                <w:szCs w:val="21"/>
                <w:lang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jc w:val="both"/>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一、</w:t>
            </w:r>
            <w:bookmarkStart w:id="0" w:name="_Hlk66973412"/>
            <w:r>
              <w:rPr>
                <w:rFonts w:hint="default" w:ascii="Times New Roman" w:hAnsi="Times New Roman" w:eastAsia="黑体" w:cs="Times New Roman"/>
                <w:kern w:val="0"/>
                <w:sz w:val="21"/>
                <w:szCs w:val="21"/>
                <w:lang w:eastAsia="zh-CN" w:bidi="ar-SA"/>
              </w:rPr>
              <w:t>本年新收政府信息公开申请数量</w:t>
            </w:r>
            <w:bookmarkEnd w:id="0"/>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15</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15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jc w:val="both"/>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二、上年结转政府信息公开申请数量</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jc w:val="both"/>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三、本年度办理结果</w:t>
            </w:r>
          </w:p>
        </w:tc>
        <w:tc>
          <w:tcPr>
            <w:tcW w:w="4677" w:type="dxa"/>
            <w:gridSpan w:val="2"/>
            <w:shd w:val="clear" w:color="auto" w:fill="auto"/>
            <w:tcMar>
              <w:left w:w="108" w:type="dxa"/>
              <w:right w:w="108" w:type="dxa"/>
            </w:tcMar>
            <w:vAlign w:val="center"/>
          </w:tcPr>
          <w:p>
            <w:pPr>
              <w:widowControl/>
              <w:jc w:val="both"/>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（一）予以公开</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6</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eastAsia="zh-CN" w:bidi="ar-SA"/>
              </w:rPr>
            </w:pP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4677" w:type="dxa"/>
            <w:gridSpan w:val="2"/>
            <w:shd w:val="clear" w:color="auto" w:fill="auto"/>
            <w:tcMar>
              <w:left w:w="108" w:type="dxa"/>
              <w:right w:w="108" w:type="dxa"/>
            </w:tcMar>
            <w:vAlign w:val="center"/>
          </w:tcPr>
          <w:p>
            <w:pPr>
              <w:widowControl/>
              <w:jc w:val="both"/>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（二）部分公开（</w:t>
            </w:r>
            <w:bookmarkStart w:id="1" w:name="_Hlk66973981"/>
            <w:r>
              <w:rPr>
                <w:rFonts w:hint="default" w:ascii="Times New Roman" w:hAnsi="Times New Roman" w:eastAsia="黑体" w:cs="Times New Roman"/>
                <w:kern w:val="0"/>
                <w:sz w:val="21"/>
                <w:szCs w:val="21"/>
                <w:lang w:eastAsia="zh-CN" w:bidi="ar-SA"/>
              </w:rPr>
              <w:t>区分处理的，只计这一情形，不计其他情形</w:t>
            </w:r>
            <w:bookmarkEnd w:id="1"/>
            <w:r>
              <w:rPr>
                <w:rFonts w:hint="default" w:ascii="Times New Roman" w:hAnsi="Times New Roman" w:eastAsia="黑体" w:cs="Times New Roman"/>
                <w:kern w:val="0"/>
                <w:sz w:val="21"/>
                <w:szCs w:val="21"/>
                <w:lang w:eastAsia="zh-CN" w:bidi="ar-SA"/>
              </w:rPr>
              <w:t>）</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3</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restart"/>
            <w:shd w:val="clear" w:color="auto" w:fill="auto"/>
            <w:tcMar>
              <w:left w:w="108" w:type="dxa"/>
              <w:right w:w="108" w:type="dxa"/>
            </w:tcMar>
            <w:vAlign w:val="center"/>
          </w:tcPr>
          <w:p>
            <w:pPr>
              <w:widowControl/>
              <w:spacing w:line="200" w:lineRule="exact"/>
              <w:ind w:left="-122" w:leftChars="-51"/>
              <w:jc w:val="both"/>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（三）不予公开</w:t>
            </w: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1.属于国家秘密</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2" w:name="_Hlk66974104"/>
            <w:r>
              <w:rPr>
                <w:rFonts w:hint="default" w:ascii="Times New Roman" w:hAnsi="Times New Roman" w:eastAsia="仿宋_GB2312" w:cs="Times New Roman"/>
                <w:kern w:val="0"/>
                <w:sz w:val="21"/>
                <w:szCs w:val="21"/>
                <w:lang w:eastAsia="zh-CN" w:bidi="ar-SA"/>
              </w:rPr>
              <w:t>其他法律行政法规禁止公开</w:t>
            </w:r>
            <w:bookmarkEnd w:id="2"/>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3.危及“三安全一稳定”</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4.</w:t>
            </w:r>
            <w:bookmarkStart w:id="3" w:name="_Hlk66974290"/>
            <w:r>
              <w:rPr>
                <w:rFonts w:hint="default" w:ascii="Times New Roman" w:hAnsi="Times New Roman" w:eastAsia="仿宋_GB2312" w:cs="Times New Roman"/>
                <w:kern w:val="0"/>
                <w:sz w:val="21"/>
                <w:szCs w:val="21"/>
                <w:lang w:eastAsia="zh-CN" w:bidi="ar-SA"/>
              </w:rPr>
              <w:t>保护第三方合法权益</w:t>
            </w:r>
            <w:bookmarkEnd w:id="3"/>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5.属于三类内部事务信息</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6.</w:t>
            </w:r>
            <w:bookmarkStart w:id="4" w:name="_Hlk66974555"/>
            <w:r>
              <w:rPr>
                <w:rFonts w:hint="default" w:ascii="Times New Roman" w:hAnsi="Times New Roman" w:eastAsia="仿宋_GB2312" w:cs="Times New Roman"/>
                <w:kern w:val="0"/>
                <w:sz w:val="21"/>
                <w:szCs w:val="21"/>
                <w:lang w:eastAsia="zh-CN" w:bidi="ar-SA"/>
              </w:rPr>
              <w:t>属于四类过程性信息</w:t>
            </w:r>
            <w:bookmarkEnd w:id="4"/>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2</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7.属于行政执法案卷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8.</w:t>
            </w:r>
            <w:bookmarkStart w:id="5" w:name="_Hlk66975211"/>
            <w:r>
              <w:rPr>
                <w:rFonts w:hint="default" w:ascii="Times New Roman" w:hAnsi="Times New Roman" w:eastAsia="仿宋_GB2312" w:cs="Times New Roman"/>
                <w:kern w:val="0"/>
                <w:sz w:val="21"/>
                <w:szCs w:val="21"/>
                <w:lang w:eastAsia="zh-CN" w:bidi="ar-SA"/>
              </w:rPr>
              <w:t>属于行政查询事项</w:t>
            </w:r>
            <w:bookmarkEnd w:id="5"/>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restart"/>
            <w:shd w:val="clear" w:color="auto" w:fill="auto"/>
            <w:tcMar>
              <w:left w:w="108" w:type="dxa"/>
              <w:right w:w="108" w:type="dxa"/>
            </w:tcMar>
            <w:vAlign w:val="center"/>
          </w:tcPr>
          <w:p>
            <w:pPr>
              <w:widowControl/>
              <w:spacing w:line="200" w:lineRule="exact"/>
              <w:ind w:left="-122" w:leftChars="-51"/>
              <w:jc w:val="both"/>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（四）无法提供</w:t>
            </w: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1.本机关不掌握相关政府信息</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4</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ind w:left="-122" w:leftChars="-51"/>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6" w:name="_Hlk66975392"/>
            <w:r>
              <w:rPr>
                <w:rFonts w:hint="default" w:ascii="Times New Roman" w:hAnsi="Times New Roman" w:eastAsia="仿宋_GB2312" w:cs="Times New Roman"/>
                <w:kern w:val="0"/>
                <w:sz w:val="21"/>
                <w:szCs w:val="21"/>
                <w:lang w:eastAsia="zh-CN" w:bidi="ar-SA"/>
              </w:rPr>
              <w:t>没有现成信息需要另行制作</w:t>
            </w:r>
            <w:bookmarkEnd w:id="6"/>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ind w:left="-122" w:leftChars="-51"/>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w:t>
            </w:r>
            <w:bookmarkStart w:id="7" w:name="_Hlk66975466"/>
            <w:r>
              <w:rPr>
                <w:rFonts w:hint="default" w:ascii="Times New Roman" w:hAnsi="Times New Roman" w:eastAsia="仿宋_GB2312" w:cs="Times New Roman"/>
                <w:kern w:val="0"/>
                <w:sz w:val="21"/>
                <w:szCs w:val="21"/>
                <w:lang w:eastAsia="zh-CN" w:bidi="ar-SA"/>
              </w:rPr>
              <w:t>补正后申请内容仍不明确</w:t>
            </w:r>
            <w:bookmarkEnd w:id="7"/>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restart"/>
            <w:shd w:val="clear" w:color="auto" w:fill="auto"/>
            <w:tcMar>
              <w:left w:w="108" w:type="dxa"/>
              <w:right w:w="108" w:type="dxa"/>
            </w:tcMar>
            <w:vAlign w:val="center"/>
          </w:tcPr>
          <w:p>
            <w:pPr>
              <w:widowControl/>
              <w:spacing w:line="200" w:lineRule="exact"/>
              <w:ind w:left="-122" w:leftChars="-51"/>
              <w:jc w:val="both"/>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（五）不予处理</w:t>
            </w: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w:t>
            </w:r>
            <w:bookmarkStart w:id="8" w:name="_Hlk66975537"/>
            <w:r>
              <w:rPr>
                <w:rFonts w:hint="default" w:ascii="Times New Roman" w:hAnsi="Times New Roman" w:eastAsia="仿宋_GB2312" w:cs="Times New Roman"/>
                <w:kern w:val="0"/>
                <w:sz w:val="21"/>
                <w:szCs w:val="21"/>
                <w:lang w:eastAsia="zh-CN" w:bidi="ar-SA"/>
              </w:rPr>
              <w:t>信访举报投诉类申请</w:t>
            </w:r>
            <w:bookmarkEnd w:id="8"/>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2.重复申请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3.要求提供公开出版物</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4.无正当理由大量反复申请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pPr>
              <w:widowControl/>
              <w:spacing w:line="3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5.要求行政机关确认或重新</w:t>
            </w:r>
          </w:p>
          <w:p>
            <w:pPr>
              <w:widowControl/>
              <w:spacing w:line="300" w:lineRule="exact"/>
              <w:ind w:firstLine="210" w:firstLineChars="100"/>
              <w:jc w:val="both"/>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出具已获取信息</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restart"/>
            <w:shd w:val="clear" w:color="auto" w:fill="auto"/>
            <w:tcMar>
              <w:left w:w="108" w:type="dxa"/>
              <w:right w:w="108" w:type="dxa"/>
            </w:tcMar>
            <w:vAlign w:val="center"/>
          </w:tcPr>
          <w:p>
            <w:pPr>
              <w:widowControl/>
              <w:spacing w:line="300" w:lineRule="exact"/>
              <w:jc w:val="both"/>
              <w:rPr>
                <w:rFonts w:hint="default" w:ascii="Times New Roman" w:hAnsi="Times New Roman" w:eastAsia="黑体" w:cs="Times New Roman"/>
                <w:kern w:val="0"/>
                <w:sz w:val="21"/>
                <w:szCs w:val="21"/>
                <w:lang w:eastAsia="zh-CN" w:bidi="ar-SA"/>
              </w:rPr>
            </w:pPr>
            <w:r>
              <w:rPr>
                <w:rFonts w:hint="default" w:ascii="Times New Roman" w:hAnsi="Times New Roman" w:eastAsia="黑体" w:cs="Times New Roman"/>
                <w:kern w:val="0"/>
                <w:sz w:val="21"/>
                <w:szCs w:val="21"/>
                <w:lang w:eastAsia="zh-CN" w:bidi="ar-SA"/>
              </w:rPr>
              <w:t>（六）其他处理</w:t>
            </w:r>
          </w:p>
        </w:tc>
        <w:tc>
          <w:tcPr>
            <w:tcW w:w="2976" w:type="dxa"/>
            <w:shd w:val="clear" w:color="auto" w:fill="auto"/>
            <w:vAlign w:val="center"/>
          </w:tcPr>
          <w:p>
            <w:pPr>
              <w:widowControl/>
              <w:spacing w:line="300" w:lineRule="exact"/>
              <w:jc w:val="both"/>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2"/>
                <w:sz w:val="21"/>
                <w:szCs w:val="22"/>
                <w:lang w:eastAsia="zh-CN" w:bidi="ar-SA"/>
              </w:rPr>
              <w:t>1.申请人无正当理由逾期不补正、行政机关不再处理其政府信息公开申请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widowControl/>
              <w:spacing w:line="300" w:lineRule="exact"/>
              <w:jc w:val="both"/>
              <w:rPr>
                <w:rFonts w:hint="default" w:ascii="Times New Roman" w:hAnsi="Times New Roman" w:eastAsia="黑体" w:cs="Times New Roman"/>
                <w:kern w:val="0"/>
                <w:sz w:val="21"/>
                <w:szCs w:val="21"/>
                <w:lang w:eastAsia="zh-CN" w:bidi="ar-SA"/>
              </w:rPr>
            </w:pPr>
          </w:p>
        </w:tc>
        <w:tc>
          <w:tcPr>
            <w:tcW w:w="2976" w:type="dxa"/>
            <w:shd w:val="clear" w:color="auto" w:fill="auto"/>
            <w:vAlign w:val="center"/>
          </w:tcPr>
          <w:p>
            <w:pPr>
              <w:widowControl/>
              <w:spacing w:line="3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pPr>
              <w:widowControl/>
              <w:spacing w:line="300" w:lineRule="exact"/>
              <w:jc w:val="both"/>
              <w:rPr>
                <w:rFonts w:hint="default" w:ascii="Times New Roman" w:hAnsi="Times New Roman" w:eastAsia="黑体" w:cs="Times New Roman"/>
                <w:kern w:val="0"/>
                <w:sz w:val="21"/>
                <w:szCs w:val="21"/>
                <w:lang w:eastAsia="zh-CN" w:bidi="ar-SA"/>
              </w:rPr>
            </w:pPr>
          </w:p>
        </w:tc>
        <w:tc>
          <w:tcPr>
            <w:tcW w:w="2976" w:type="dxa"/>
            <w:shd w:val="clear" w:color="auto" w:fill="auto"/>
            <w:vAlign w:val="center"/>
          </w:tcPr>
          <w:p>
            <w:pPr>
              <w:widowControl/>
              <w:spacing w:line="300" w:lineRule="exact"/>
              <w:jc w:val="both"/>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3.其他</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jc w:val="both"/>
              <w:rPr>
                <w:rFonts w:hint="default" w:ascii="Times New Roman" w:hAnsi="Times New Roman" w:eastAsia="黑体" w:cs="Times New Roman"/>
                <w:kern w:val="2"/>
                <w:sz w:val="21"/>
                <w:szCs w:val="21"/>
                <w:lang w:eastAsia="zh-CN" w:bidi="ar-SA"/>
              </w:rPr>
            </w:pPr>
          </w:p>
        </w:tc>
        <w:tc>
          <w:tcPr>
            <w:tcW w:w="4677" w:type="dxa"/>
            <w:gridSpan w:val="2"/>
            <w:shd w:val="clear" w:color="auto" w:fill="auto"/>
            <w:tcMar>
              <w:left w:w="108" w:type="dxa"/>
              <w:right w:w="108" w:type="dxa"/>
            </w:tcMar>
            <w:vAlign w:val="center"/>
          </w:tcPr>
          <w:p>
            <w:pPr>
              <w:widowControl/>
              <w:spacing w:line="300" w:lineRule="exact"/>
              <w:jc w:val="both"/>
              <w:rPr>
                <w:rFonts w:hint="default" w:ascii="Times New Roman" w:hAnsi="Times New Roman" w:eastAsia="黑体" w:cs="Times New Roman"/>
                <w:kern w:val="0"/>
                <w:sz w:val="21"/>
                <w:szCs w:val="21"/>
                <w:lang w:eastAsia="zh-CN" w:bidi="ar-SA"/>
              </w:rPr>
            </w:pPr>
            <w:r>
              <w:rPr>
                <w:rFonts w:hint="default" w:ascii="Times New Roman" w:hAnsi="Times New Roman" w:eastAsia="黑体" w:cs="Times New Roman"/>
                <w:kern w:val="0"/>
                <w:sz w:val="21"/>
                <w:szCs w:val="21"/>
                <w:lang w:eastAsia="zh-CN" w:bidi="ar-SA"/>
              </w:rPr>
              <w:t>（七）总计</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15</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eastAsia" w:eastAsia="仿宋_GB2312" w:cs="Times New Roman"/>
                <w:kern w:val="2"/>
                <w:sz w:val="21"/>
                <w:szCs w:val="21"/>
                <w:lang w:val="en-US" w:eastAsia="zh-CN" w:bidi="ar-SA"/>
              </w:rPr>
              <w:t>15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jc w:val="both"/>
              <w:rPr>
                <w:rFonts w:hint="default" w:ascii="Times New Roman" w:hAnsi="Times New Roman" w:eastAsia="黑体" w:cs="Times New Roman"/>
                <w:kern w:val="0"/>
                <w:sz w:val="21"/>
                <w:szCs w:val="21"/>
                <w:lang w:eastAsia="zh-CN" w:bidi="ar-SA"/>
              </w:rPr>
            </w:pPr>
            <w:r>
              <w:rPr>
                <w:rFonts w:hint="default" w:ascii="Times New Roman" w:hAnsi="Times New Roman" w:eastAsia="黑体" w:cs="Times New Roman"/>
                <w:kern w:val="0"/>
                <w:sz w:val="21"/>
                <w:szCs w:val="21"/>
                <w:lang w:eastAsia="zh-CN" w:bidi="ar-SA"/>
              </w:rPr>
              <w:t>四、结转下年度继续办理</w:t>
            </w:r>
          </w:p>
        </w:tc>
        <w:tc>
          <w:tcPr>
            <w:tcW w:w="829"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0</w:t>
            </w:r>
          </w:p>
        </w:tc>
      </w:tr>
    </w:tbl>
    <w:p>
      <w:pPr>
        <w:pStyle w:val="9"/>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outlineLvl w:val="9"/>
        <w:rPr>
          <w:rFonts w:hint="default" w:ascii="Times New Roman" w:hAnsi="Times New Roman" w:eastAsia="黑体" w:cs="Times New Roman"/>
          <w:bCs/>
          <w:color w:val="auto"/>
          <w:sz w:val="32"/>
          <w:szCs w:val="32"/>
        </w:rPr>
      </w:pPr>
      <w:r>
        <w:rPr>
          <w:rFonts w:hint="default" w:ascii="Times New Roman" w:hAnsi="Times New Roman" w:eastAsia="黑体" w:cs="Times New Roman"/>
          <w:b/>
          <w:bCs w:val="0"/>
          <w:color w:val="auto"/>
          <w:sz w:val="32"/>
          <w:szCs w:val="32"/>
          <w:lang w:val="en-US" w:eastAsia="zh-CN"/>
        </w:rPr>
        <w:t>四、</w:t>
      </w:r>
      <w:r>
        <w:rPr>
          <w:rFonts w:hint="default" w:ascii="Times New Roman" w:hAnsi="Times New Roman" w:eastAsia="黑体" w:cs="Times New Roman"/>
          <w:b/>
          <w:bCs w:val="0"/>
          <w:color w:val="auto"/>
          <w:sz w:val="32"/>
          <w:szCs w:val="32"/>
        </w:rPr>
        <w:t>政府信息公开行政复议、行政诉讼情况</w:t>
      </w:r>
    </w:p>
    <w:tbl>
      <w:tblPr>
        <w:tblStyle w:val="4"/>
        <w:tblW w:w="8737" w:type="dxa"/>
        <w:jc w:val="center"/>
        <w:tblInd w:w="0" w:type="dxa"/>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Layout w:type="fixed"/>
          <w:tblCellMar>
            <w:top w:w="0" w:type="dxa"/>
            <w:left w:w="10" w:type="dxa"/>
            <w:bottom w:w="0" w:type="dxa"/>
            <w:right w:w="10" w:type="dxa"/>
          </w:tblCellMar>
        </w:tblPrEx>
        <w:trPr>
          <w:trHeight w:val="470" w:hRule="exact"/>
          <w:jc w:val="center"/>
        </w:trPr>
        <w:tc>
          <w:tcPr>
            <w:tcW w:w="3068" w:type="dxa"/>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行政复议</w:t>
            </w:r>
          </w:p>
        </w:tc>
        <w:tc>
          <w:tcPr>
            <w:tcW w:w="5669" w:type="dxa"/>
            <w:gridSpan w:val="10"/>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行政诉讼</w:t>
            </w:r>
          </w:p>
        </w:tc>
      </w:tr>
      <w:tr>
        <w:tblPrEx>
          <w:tblLayout w:type="fixed"/>
          <w:tblCellMar>
            <w:top w:w="0" w:type="dxa"/>
            <w:left w:w="10" w:type="dxa"/>
            <w:bottom w:w="0" w:type="dxa"/>
            <w:right w:w="10" w:type="dxa"/>
          </w:tblCellMar>
        </w:tblPrEx>
        <w:trPr>
          <w:trHeight w:val="451" w:hRule="exact"/>
          <w:jc w:val="center"/>
        </w:trPr>
        <w:tc>
          <w:tcPr>
            <w:tcW w:w="629"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629"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62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62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bottom"/>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2827" w:type="dxa"/>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未经复议直接起诉</w:t>
            </w:r>
          </w:p>
        </w:tc>
        <w:tc>
          <w:tcPr>
            <w:tcW w:w="2842" w:type="dxa"/>
            <w:gridSpan w:val="5"/>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复议后起诉</w:t>
            </w:r>
          </w:p>
        </w:tc>
      </w:tr>
      <w:tr>
        <w:tblPrEx>
          <w:tblLayout w:type="fixed"/>
          <w:tblCellMar>
            <w:top w:w="0" w:type="dxa"/>
            <w:left w:w="10" w:type="dxa"/>
            <w:bottom w:w="0" w:type="dxa"/>
            <w:right w:w="10" w:type="dxa"/>
          </w:tblCellMar>
        </w:tblPrEx>
        <w:trPr>
          <w:trHeight w:val="850" w:hRule="exact"/>
          <w:jc w:val="center"/>
        </w:trPr>
        <w:tc>
          <w:tcPr>
            <w:tcW w:w="629"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rPr>
            </w:pPr>
          </w:p>
        </w:tc>
        <w:tc>
          <w:tcPr>
            <w:tcW w:w="629"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rPr>
            </w:pPr>
          </w:p>
        </w:tc>
        <w:tc>
          <w:tcPr>
            <w:tcW w:w="562" w:type="dxa"/>
            <w:vMerge w:val="continue"/>
            <w:tcBorders>
              <w:left w:val="single" w:color="auto" w:sz="4" w:space="0"/>
            </w:tcBorders>
            <w:shd w:val="clear" w:color="auto" w:fill="FFFFFF"/>
            <w:textDirection w:val="tbRlV"/>
            <w:vAlign w:val="bottom"/>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color w:val="auto"/>
              </w:rPr>
            </w:pP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566" w:type="dxa"/>
            <w:tcBorders>
              <w:top w:val="single" w:color="auto" w:sz="4" w:space="0"/>
              <w:left w:val="single" w:color="auto" w:sz="4" w:space="0"/>
            </w:tcBorders>
            <w:shd w:val="clear" w:color="auto" w:fill="FFFFFF"/>
            <w:textDirection w:val="tbRlV"/>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581" w:type="dxa"/>
            <w:tcBorders>
              <w:top w:val="single" w:color="auto" w:sz="4" w:space="0"/>
              <w:left w:val="single" w:color="auto" w:sz="4" w:space="0"/>
              <w:right w:val="single" w:color="auto" w:sz="4" w:space="0"/>
            </w:tcBorders>
            <w:shd w:val="clear" w:color="auto" w:fill="FFFFFF"/>
            <w:textDirection w:val="tbRlV"/>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hint="default" w:ascii="Times New Roman" w:hAnsi="Times New Roman" w:cs="Times New Roman"/>
                <w:color w:val="auto"/>
              </w:rPr>
            </w:pPr>
            <w:r>
              <w:rPr>
                <w:rFonts w:hint="default" w:ascii="Times New Roman" w:hAnsi="Times New Roman" w:cs="Times New Roman"/>
                <w:color w:val="auto"/>
              </w:rPr>
              <w:t>总计</w:t>
            </w:r>
          </w:p>
        </w:tc>
      </w:tr>
      <w:tr>
        <w:tblPrEx>
          <w:tblLayout w:type="fixed"/>
          <w:tblCellMar>
            <w:top w:w="0" w:type="dxa"/>
            <w:left w:w="10" w:type="dxa"/>
            <w:bottom w:w="0" w:type="dxa"/>
            <w:right w:w="10" w:type="dxa"/>
          </w:tblCellMar>
        </w:tblPrEx>
        <w:trPr>
          <w:trHeight w:val="726" w:hRule="exact"/>
          <w:jc w:val="center"/>
        </w:trPr>
        <w:tc>
          <w:tcPr>
            <w:tcW w:w="629"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0</w:t>
            </w:r>
          </w:p>
        </w:tc>
        <w:tc>
          <w:tcPr>
            <w:tcW w:w="629"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0</w:t>
            </w:r>
          </w:p>
        </w:tc>
        <w:tc>
          <w:tcPr>
            <w:tcW w:w="571"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0</w:t>
            </w:r>
          </w:p>
        </w:tc>
        <w:tc>
          <w:tcPr>
            <w:tcW w:w="571"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0</w:t>
            </w:r>
          </w:p>
        </w:tc>
        <w:tc>
          <w:tcPr>
            <w:tcW w:w="581"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32"/>
                <w:szCs w:val="32"/>
                <w:lang w:val="en-US" w:eastAsia="zh-CN"/>
              </w:rPr>
            </w:pPr>
            <w:r>
              <w:rPr>
                <w:rFonts w:hint="default" w:ascii="Times New Roman" w:hAnsi="Times New Roman" w:eastAsia="宋体" w:cs="Times New Roman"/>
                <w:color w:val="auto"/>
                <w:sz w:val="32"/>
                <w:szCs w:val="32"/>
                <w:lang w:val="en-US" w:eastAsia="zh-CN"/>
              </w:rPr>
              <w:t>0</w:t>
            </w:r>
          </w:p>
        </w:tc>
      </w:tr>
    </w:tbl>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lang w:eastAsia="zh-CN"/>
        </w:rPr>
        <w:sectPr>
          <w:headerReference r:id="rId3" w:type="default"/>
          <w:footerReference r:id="rId5" w:type="default"/>
          <w:headerReference r:id="rId4" w:type="even"/>
          <w:footerReference r:id="rId6" w:type="even"/>
          <w:pgSz w:w="11900" w:h="16840"/>
          <w:pgMar w:top="2416" w:right="1302" w:bottom="1283" w:left="1771" w:header="0" w:footer="3" w:gutter="0"/>
          <w:pgNumType w:start="8"/>
          <w:cols w:space="720" w:num="1"/>
          <w:docGrid w:linePitch="360" w:charSpace="0"/>
        </w:sect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both"/>
        <w:textAlignment w:val="auto"/>
        <w:outlineLvl w:val="9"/>
        <w:rPr>
          <w:rFonts w:hint="default" w:ascii="Times New Roman" w:hAnsi="Times New Roman" w:eastAsia="黑体" w:cs="Times New Roman"/>
          <w:b/>
          <w:bCs/>
          <w:color w:val="auto"/>
          <w:sz w:val="32"/>
          <w:szCs w:val="32"/>
          <w:lang w:eastAsia="zh-CN" w:bidi="ar-SA"/>
        </w:rPr>
      </w:pPr>
      <w:r>
        <w:rPr>
          <w:rFonts w:hint="eastAsia" w:ascii="黑体" w:hAnsi="黑体" w:eastAsia="黑体" w:cs="黑体"/>
          <w:b/>
          <w:bCs/>
          <w:color w:val="auto"/>
          <w:sz w:val="32"/>
          <w:szCs w:val="32"/>
          <w:lang w:val="en-US" w:eastAsia="zh-CN" w:bidi="ar-SA"/>
        </w:rPr>
        <w:t>五、</w:t>
      </w:r>
      <w:r>
        <w:rPr>
          <w:rFonts w:hint="eastAsia" w:ascii="黑体" w:hAnsi="黑体" w:eastAsia="黑体" w:cs="黑体"/>
          <w:b/>
          <w:bCs/>
          <w:color w:val="auto"/>
          <w:sz w:val="32"/>
          <w:szCs w:val="32"/>
          <w:lang w:eastAsia="zh-CN" w:bidi="ar-SA"/>
        </w:rPr>
        <w:t>存在的主要问题及改进情况</w:t>
      </w:r>
    </w:p>
    <w:p>
      <w:pPr>
        <w:widowControl/>
        <w:ind w:firstLine="643" w:firstLineChars="200"/>
        <w:rPr>
          <w:rFonts w:hint="eastAsia" w:eastAsia="仿宋_GB2312" w:cs="Times New Roman"/>
          <w:b w:val="0"/>
          <w:bCs w:val="0"/>
          <w:color w:val="auto"/>
          <w:kern w:val="0"/>
          <w:sz w:val="32"/>
          <w:szCs w:val="32"/>
          <w:lang w:val="en-US" w:eastAsia="zh-CN" w:bidi="en-US"/>
        </w:rPr>
      </w:pPr>
      <w:r>
        <w:rPr>
          <w:rFonts w:hint="eastAsia" w:ascii="楷体_GB2312" w:hAnsi="楷体_GB2312" w:eastAsia="楷体_GB2312" w:cs="楷体_GB2312"/>
          <w:b/>
          <w:bCs/>
          <w:color w:val="auto"/>
          <w:kern w:val="0"/>
          <w:sz w:val="32"/>
          <w:szCs w:val="32"/>
          <w:lang w:val="en-US" w:eastAsia="zh-CN" w:bidi="en-US"/>
        </w:rPr>
        <w:t>（一）2022年问题整改情况</w:t>
      </w:r>
    </w:p>
    <w:p>
      <w:pPr>
        <w:widowControl/>
        <w:ind w:firstLine="640" w:firstLineChars="200"/>
        <w:rPr>
          <w:rFonts w:hint="eastAsia" w:eastAsia="仿宋_GB2312" w:cs="Times New Roman"/>
          <w:b w:val="0"/>
          <w:bCs w:val="0"/>
          <w:color w:val="auto"/>
          <w:kern w:val="0"/>
          <w:sz w:val="32"/>
          <w:szCs w:val="32"/>
          <w:lang w:val="en-US" w:eastAsia="zh-CN" w:bidi="en-US"/>
        </w:rPr>
      </w:pPr>
      <w:r>
        <w:rPr>
          <w:rFonts w:hint="eastAsia" w:eastAsia="仿宋_GB2312" w:cs="Times New Roman"/>
          <w:b w:val="0"/>
          <w:bCs w:val="0"/>
          <w:color w:val="auto"/>
          <w:kern w:val="0"/>
          <w:sz w:val="32"/>
          <w:szCs w:val="32"/>
          <w:lang w:val="en-US" w:eastAsia="zh-CN" w:bidi="en-US"/>
        </w:rPr>
        <w:t>进一步提高对政府信息公开工作重要性的认识，落实责任，不断改进和完善政府信息公开工作。</w:t>
      </w:r>
    </w:p>
    <w:p>
      <w:pPr>
        <w:widowControl/>
        <w:ind w:firstLine="643" w:firstLineChars="200"/>
        <w:rPr>
          <w:rFonts w:hint="eastAsia" w:ascii="楷体_GB2312" w:hAnsi="楷体_GB2312" w:eastAsia="楷体_GB2312" w:cs="楷体_GB2312"/>
          <w:b/>
          <w:bCs/>
          <w:color w:val="auto"/>
          <w:kern w:val="0"/>
          <w:sz w:val="32"/>
          <w:szCs w:val="32"/>
          <w:lang w:val="en-US" w:eastAsia="zh-CN" w:bidi="en-US"/>
        </w:rPr>
      </w:pPr>
      <w:r>
        <w:rPr>
          <w:rFonts w:hint="eastAsia" w:ascii="楷体_GB2312" w:hAnsi="楷体_GB2312" w:eastAsia="楷体_GB2312" w:cs="楷体_GB2312"/>
          <w:b/>
          <w:bCs/>
          <w:color w:val="auto"/>
          <w:kern w:val="0"/>
          <w:sz w:val="32"/>
          <w:szCs w:val="32"/>
          <w:lang w:val="en-US" w:eastAsia="zh-CN" w:bidi="en-US"/>
        </w:rPr>
        <w:t>（二）2023年存在问题</w:t>
      </w:r>
    </w:p>
    <w:p>
      <w:pPr>
        <w:widowControl/>
        <w:ind w:firstLine="640" w:firstLineChars="200"/>
        <w:rPr>
          <w:rFonts w:hint="default" w:ascii="Times New Roman" w:hAnsi="Times New Roman" w:eastAsia="仿宋_GB2312" w:cs="Times New Roman"/>
          <w:b w:val="0"/>
          <w:bCs w:val="0"/>
          <w:color w:val="auto"/>
          <w:kern w:val="0"/>
          <w:sz w:val="32"/>
          <w:szCs w:val="32"/>
          <w:lang w:val="en-US" w:eastAsia="zh-CN" w:bidi="en-US"/>
        </w:rPr>
      </w:pPr>
      <w:r>
        <w:rPr>
          <w:rFonts w:hint="default" w:ascii="Times New Roman" w:hAnsi="Times New Roman" w:eastAsia="仿宋_GB2312" w:cs="Times New Roman"/>
          <w:color w:val="auto"/>
          <w:sz w:val="32"/>
          <w:szCs w:val="32"/>
          <w:shd w:val="clear" w:color="auto" w:fill="FFFFFF"/>
          <w:lang w:val="en-US" w:eastAsia="zh-CN"/>
        </w:rPr>
        <w:t>市中</w:t>
      </w:r>
      <w:r>
        <w:rPr>
          <w:rFonts w:hint="default" w:ascii="Times New Roman" w:hAnsi="Times New Roman" w:eastAsia="仿宋_GB2312" w:cs="Times New Roman"/>
          <w:bCs/>
          <w:color w:val="auto"/>
          <w:sz w:val="32"/>
          <w:szCs w:val="32"/>
          <w:lang w:val="en-US" w:eastAsia="zh-CN"/>
        </w:rPr>
        <w:t>区发展和改</w:t>
      </w:r>
      <w:r>
        <w:rPr>
          <w:rFonts w:hint="default" w:ascii="Times New Roman" w:hAnsi="Times New Roman" w:eastAsia="仿宋_GB2312" w:cs="Times New Roman"/>
          <w:b w:val="0"/>
          <w:bCs w:val="0"/>
          <w:color w:val="auto"/>
          <w:kern w:val="0"/>
          <w:sz w:val="32"/>
          <w:szCs w:val="32"/>
          <w:lang w:val="en-US" w:eastAsia="zh-CN" w:bidi="en-US"/>
        </w:rPr>
        <w:t>革局的政府信息公开工作运转平稳、规范有序，但还存在信息公开不及时、信息公开内容不全面、在信息的更新和维护上可能不够及时，本单位从事政务公开具体工作的为兼职人员专业业务能力弱等问题。</w:t>
      </w:r>
    </w:p>
    <w:p>
      <w:pPr>
        <w:widowControl/>
        <w:ind w:firstLine="643" w:firstLineChars="200"/>
        <w:rPr>
          <w:rFonts w:hint="eastAsia" w:eastAsia="仿宋_GB2312" w:cs="Times New Roman"/>
          <w:b w:val="0"/>
          <w:bCs w:val="0"/>
          <w:color w:val="auto"/>
          <w:kern w:val="0"/>
          <w:sz w:val="32"/>
          <w:szCs w:val="32"/>
          <w:lang w:val="en-US" w:eastAsia="zh-CN" w:bidi="en-US"/>
        </w:rPr>
      </w:pPr>
      <w:r>
        <w:rPr>
          <w:rFonts w:hint="eastAsia" w:ascii="楷体_GB2312" w:hAnsi="楷体_GB2312" w:eastAsia="楷体_GB2312" w:cs="楷体_GB2312"/>
          <w:b/>
          <w:bCs/>
          <w:color w:val="auto"/>
          <w:kern w:val="0"/>
          <w:sz w:val="32"/>
          <w:szCs w:val="32"/>
          <w:lang w:val="en-US" w:eastAsia="zh-CN" w:bidi="en-US"/>
        </w:rPr>
        <w:t>（三）整改措施</w:t>
      </w:r>
    </w:p>
    <w:p>
      <w:pPr>
        <w:widowControl/>
        <w:ind w:firstLine="640" w:firstLineChars="200"/>
        <w:rPr>
          <w:rFonts w:hint="default" w:ascii="Times New Roman" w:hAnsi="Times New Roman" w:eastAsia="仿宋_GB2312" w:cs="Times New Roman"/>
          <w:b w:val="0"/>
          <w:bCs w:val="0"/>
          <w:color w:val="auto"/>
          <w:kern w:val="0"/>
          <w:sz w:val="32"/>
          <w:szCs w:val="32"/>
          <w:lang w:val="en-US" w:eastAsia="zh-CN" w:bidi="en-US"/>
        </w:rPr>
      </w:pPr>
      <w:r>
        <w:rPr>
          <w:rFonts w:hint="default" w:ascii="Times New Roman" w:hAnsi="Times New Roman" w:eastAsia="仿宋_GB2312" w:cs="Times New Roman"/>
          <w:b w:val="0"/>
          <w:bCs w:val="0"/>
          <w:color w:val="auto"/>
          <w:kern w:val="0"/>
          <w:sz w:val="32"/>
          <w:szCs w:val="32"/>
          <w:lang w:val="en-US" w:eastAsia="zh-CN" w:bidi="en-US"/>
        </w:rPr>
        <w:t>下一步，我局将进一步提升信息公开透明度，进一步完善信息公开要素，加强培训学习，进一步提高全局干部职工特别是政府信息公开工作专兼职人员的意识水平和专业技能，提高工作效率。</w:t>
      </w:r>
      <w:r>
        <w:rPr>
          <w:rFonts w:hint="default" w:ascii="Times New Roman" w:hAnsi="Times New Roman" w:eastAsia="仿宋_GB2312" w:cs="Times New Roman"/>
          <w:sz w:val="32"/>
          <w:szCs w:val="32"/>
          <w:shd w:val="clear" w:color="auto" w:fill="FFFFFF"/>
          <w:lang w:eastAsia="zh-CN"/>
        </w:rPr>
        <w:t>严格按照政务公开要求，对涉及我局的相关政务信息及时公开，及时更新政府信息提升群众知晓率</w:t>
      </w:r>
      <w:r>
        <w:rPr>
          <w:rFonts w:hint="default" w:ascii="Times New Roman" w:hAnsi="Times New Roman" w:eastAsia="仿宋_GB2312" w:cs="Times New Roman"/>
          <w:sz w:val="32"/>
          <w:szCs w:val="32"/>
          <w:shd w:val="clear" w:color="auto" w:fill="FFFFFF"/>
          <w:lang w:val="en-US" w:eastAsia="zh-CN"/>
        </w:rPr>
        <w:t>和满意率</w:t>
      </w:r>
      <w:r>
        <w:rPr>
          <w:rFonts w:hint="default" w:ascii="Times New Roman" w:hAnsi="Times New Roman" w:eastAsia="仿宋_GB2312" w:cs="Times New Roman"/>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黑体" w:cs="Times New Roman"/>
          <w:b/>
          <w:bCs/>
          <w:color w:val="auto"/>
          <w:kern w:val="0"/>
          <w:sz w:val="32"/>
          <w:szCs w:val="32"/>
          <w:lang w:val="zh-TW" w:eastAsia="zh-CN" w:bidi="zh-TW"/>
        </w:rPr>
      </w:pPr>
      <w:r>
        <w:rPr>
          <w:rFonts w:hint="eastAsia" w:eastAsia="黑体" w:cs="Times New Roman"/>
          <w:b/>
          <w:bCs/>
          <w:color w:val="auto"/>
          <w:kern w:val="0"/>
          <w:sz w:val="32"/>
          <w:szCs w:val="32"/>
          <w:lang w:val="en-US" w:eastAsia="zh-CN" w:bidi="zh-TW"/>
        </w:rPr>
        <w:t>六</w:t>
      </w:r>
      <w:r>
        <w:rPr>
          <w:rFonts w:hint="default" w:ascii="Times New Roman" w:hAnsi="Times New Roman" w:eastAsia="黑体" w:cs="Times New Roman"/>
          <w:b/>
          <w:bCs/>
          <w:color w:val="auto"/>
          <w:kern w:val="0"/>
          <w:sz w:val="32"/>
          <w:szCs w:val="32"/>
          <w:lang w:val="en-US" w:eastAsia="zh-CN" w:bidi="zh-TW"/>
        </w:rPr>
        <w:t>、</w:t>
      </w:r>
      <w:r>
        <w:rPr>
          <w:rFonts w:hint="default" w:ascii="Times New Roman" w:hAnsi="Times New Roman" w:eastAsia="黑体" w:cs="Times New Roman"/>
          <w:b/>
          <w:bCs/>
          <w:color w:val="auto"/>
          <w:kern w:val="0"/>
          <w:sz w:val="32"/>
          <w:szCs w:val="32"/>
          <w:lang w:val="zh-TW" w:eastAsia="zh-CN" w:bidi="zh-TW"/>
        </w:rPr>
        <w:t>其他需要报告的事项</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left"/>
        <w:textAlignment w:val="auto"/>
        <w:rPr>
          <w:rFonts w:hint="default" w:ascii="Times New Roman" w:hAnsi="Times New Roman" w:eastAsia="楷体_GB2312" w:cs="Times New Roman"/>
          <w:b w:val="0"/>
          <w:bCs w:val="0"/>
          <w:color w:val="auto"/>
          <w:kern w:val="0"/>
          <w:sz w:val="32"/>
          <w:szCs w:val="32"/>
          <w:lang w:val="en-US" w:eastAsia="zh-CN" w:bidi="en-US"/>
        </w:rPr>
      </w:pPr>
      <w:r>
        <w:rPr>
          <w:rFonts w:hint="eastAsia" w:eastAsia="楷体_GB2312" w:cs="Times New Roman"/>
          <w:b/>
          <w:bCs/>
          <w:color w:val="auto"/>
          <w:kern w:val="0"/>
          <w:sz w:val="32"/>
          <w:szCs w:val="32"/>
          <w:lang w:val="en-US" w:eastAsia="zh-CN" w:bidi="en-US"/>
        </w:rPr>
        <w:t>（一）</w:t>
      </w:r>
      <w:r>
        <w:rPr>
          <w:rFonts w:hint="default" w:ascii="Times New Roman" w:hAnsi="Times New Roman" w:eastAsia="楷体_GB2312" w:cs="Times New Roman"/>
          <w:b/>
          <w:bCs/>
          <w:color w:val="auto"/>
          <w:kern w:val="0"/>
          <w:sz w:val="32"/>
          <w:szCs w:val="32"/>
          <w:lang w:val="en-US" w:eastAsia="zh-CN" w:bidi="en-US"/>
        </w:rPr>
        <w:t>收取信息处理费的情况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left"/>
        <w:textAlignment w:val="auto"/>
        <w:rPr>
          <w:rFonts w:hint="default" w:ascii="Times New Roman" w:hAnsi="Times New Roman" w:eastAsia="仿宋_GB2312" w:cs="Times New Roman"/>
          <w:sz w:val="32"/>
          <w:szCs w:val="32"/>
          <w:shd w:val="clear" w:color="auto" w:fill="FFFFFF"/>
          <w:lang w:eastAsia="zh-CN"/>
        </w:rPr>
      </w:pPr>
      <w:r>
        <w:rPr>
          <w:rFonts w:hint="default" w:ascii="Times New Roman" w:hAnsi="Times New Roman" w:eastAsia="仿宋_GB2312" w:cs="Times New Roman"/>
          <w:sz w:val="32"/>
          <w:szCs w:val="32"/>
          <w:shd w:val="clear" w:color="auto" w:fill="FFFFFF"/>
          <w:lang w:eastAsia="zh-CN"/>
        </w:rPr>
        <w:t>本年度依申请公开政府信息未收取任何费用</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left"/>
        <w:textAlignment w:val="auto"/>
        <w:rPr>
          <w:rFonts w:hint="eastAsia" w:eastAsia="楷体_GB2312" w:cs="Times New Roman"/>
          <w:b/>
          <w:bCs/>
          <w:color w:val="auto"/>
          <w:kern w:val="0"/>
          <w:sz w:val="32"/>
          <w:szCs w:val="32"/>
          <w:lang w:val="en-US" w:eastAsia="zh-CN" w:bidi="en-US"/>
        </w:rPr>
      </w:pPr>
      <w:r>
        <w:rPr>
          <w:rFonts w:hint="eastAsia" w:eastAsia="楷体_GB2312" w:cs="Times New Roman"/>
          <w:b/>
          <w:bCs/>
          <w:color w:val="auto"/>
          <w:kern w:val="0"/>
          <w:sz w:val="32"/>
          <w:szCs w:val="32"/>
          <w:lang w:val="en-US" w:eastAsia="zh-CN" w:bidi="en-US"/>
        </w:rPr>
        <w:t>（二）落实上级年度政务公开工作要点情况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left"/>
        <w:textAlignment w:val="auto"/>
        <w:rPr>
          <w:rFonts w:hint="eastAsia" w:ascii="仿宋_GB2312" w:hAnsi="仿宋_GB2312" w:eastAsia="仿宋_GB2312" w:cs="仿宋_GB2312"/>
          <w:b w:val="0"/>
          <w:bCs w:val="0"/>
          <w:color w:val="auto"/>
          <w:kern w:val="0"/>
          <w:sz w:val="32"/>
          <w:szCs w:val="32"/>
          <w:lang w:val="en-US" w:eastAsia="zh-CN" w:bidi="en-US"/>
        </w:rPr>
      </w:pPr>
      <w:r>
        <w:rPr>
          <w:rFonts w:hint="eastAsia" w:ascii="仿宋_GB2312" w:hAnsi="仿宋_GB2312" w:eastAsia="仿宋_GB2312" w:cs="仿宋_GB2312"/>
          <w:b w:val="0"/>
          <w:bCs w:val="0"/>
          <w:color w:val="auto"/>
          <w:kern w:val="0"/>
          <w:sz w:val="32"/>
          <w:szCs w:val="32"/>
          <w:lang w:val="en-US" w:eastAsia="zh-CN" w:bidi="en-US"/>
        </w:rPr>
        <w:t>2023年，市中区发展和改革局严格按照上级政务公开工作要求，结合自身工作，围绕重点项目建设等领域，及时发布相关政策信息，确保政务公开工作成效。</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left"/>
        <w:textAlignment w:val="auto"/>
        <w:rPr>
          <w:rFonts w:hint="default" w:ascii="Times New Roman" w:hAnsi="Times New Roman" w:eastAsia="楷体_GB2312" w:cs="Times New Roman"/>
          <w:b/>
          <w:bCs/>
          <w:color w:val="auto"/>
          <w:kern w:val="0"/>
          <w:sz w:val="32"/>
          <w:szCs w:val="32"/>
          <w:lang w:val="en-US" w:eastAsia="zh-CN" w:bidi="en-US"/>
        </w:rPr>
      </w:pPr>
      <w:r>
        <w:rPr>
          <w:rFonts w:hint="eastAsia" w:eastAsia="楷体_GB2312" w:cs="Times New Roman"/>
          <w:b/>
          <w:bCs/>
          <w:color w:val="auto"/>
          <w:kern w:val="0"/>
          <w:sz w:val="32"/>
          <w:szCs w:val="32"/>
          <w:lang w:val="en-US" w:eastAsia="zh-CN" w:bidi="en-US"/>
        </w:rPr>
        <w:t>（三）</w:t>
      </w:r>
      <w:r>
        <w:rPr>
          <w:rFonts w:hint="default" w:ascii="Times New Roman" w:hAnsi="Times New Roman" w:eastAsia="楷体_GB2312" w:cs="Times New Roman"/>
          <w:b/>
          <w:bCs/>
          <w:color w:val="auto"/>
          <w:kern w:val="0"/>
          <w:sz w:val="32"/>
          <w:szCs w:val="32"/>
          <w:lang w:val="en-US" w:eastAsia="zh-CN" w:bidi="en-US"/>
        </w:rPr>
        <w:t>人大代表建议和政协委员提案办理情况</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kern w:val="0"/>
          <w:sz w:val="32"/>
          <w:szCs w:val="32"/>
          <w:lang w:val="en-US" w:eastAsia="zh-CN" w:bidi="en-US"/>
        </w:rPr>
      </w:pPr>
      <w:r>
        <w:rPr>
          <w:rFonts w:hint="default" w:ascii="Times New Roman" w:hAnsi="Times New Roman" w:eastAsia="仿宋_GB2312" w:cs="Times New Roman"/>
          <w:b w:val="0"/>
          <w:bCs w:val="0"/>
          <w:color w:val="auto"/>
          <w:kern w:val="0"/>
          <w:sz w:val="32"/>
          <w:szCs w:val="32"/>
          <w:lang w:val="en-US" w:eastAsia="zh-CN" w:bidi="en-US"/>
        </w:rPr>
        <w:t>2023年，</w:t>
      </w:r>
      <w:r>
        <w:rPr>
          <w:rFonts w:hint="default" w:ascii="Times New Roman" w:hAnsi="Times New Roman" w:eastAsia="仿宋_GB2312" w:cs="Times New Roman"/>
          <w:color w:val="auto"/>
          <w:sz w:val="32"/>
          <w:szCs w:val="32"/>
          <w:shd w:val="clear" w:color="auto" w:fill="FFFFFF"/>
          <w:lang w:val="en-US" w:eastAsia="zh-CN"/>
        </w:rPr>
        <w:t>市中</w:t>
      </w:r>
      <w:r>
        <w:rPr>
          <w:rFonts w:hint="default" w:ascii="Times New Roman" w:hAnsi="Times New Roman" w:eastAsia="仿宋_GB2312" w:cs="Times New Roman"/>
          <w:bCs/>
          <w:color w:val="auto"/>
          <w:sz w:val="32"/>
          <w:szCs w:val="32"/>
          <w:lang w:val="en-US" w:eastAsia="zh-CN"/>
        </w:rPr>
        <w:t>区发展和改</w:t>
      </w:r>
      <w:r>
        <w:rPr>
          <w:rFonts w:hint="default" w:ascii="Times New Roman" w:hAnsi="Times New Roman" w:eastAsia="仿宋_GB2312" w:cs="Times New Roman"/>
          <w:b w:val="0"/>
          <w:bCs w:val="0"/>
          <w:color w:val="auto"/>
          <w:kern w:val="0"/>
          <w:sz w:val="32"/>
          <w:szCs w:val="32"/>
          <w:lang w:val="en-US" w:eastAsia="zh-CN" w:bidi="en-US"/>
        </w:rPr>
        <w:t>革局共承办区级人大代表建议5件，办复率100%；承办区政协委员提案8件，办复率100%。</w:t>
      </w:r>
    </w:p>
    <w:p>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color w:val="auto"/>
          <w:kern w:val="0"/>
          <w:sz w:val="32"/>
          <w:szCs w:val="32"/>
          <w:shd w:val="clear" w:color="auto" w:fill="FFFFFF"/>
          <w:lang w:eastAsia="zh-CN" w:bidi="en-US"/>
        </w:rPr>
      </w:pPr>
      <w:r>
        <w:rPr>
          <w:rFonts w:hint="eastAsia" w:ascii="楷体_GB2312" w:hAnsi="楷体_GB2312" w:eastAsia="楷体_GB2312" w:cs="楷体_GB2312"/>
          <w:b/>
          <w:bCs/>
          <w:color w:val="auto"/>
          <w:kern w:val="0"/>
          <w:sz w:val="32"/>
          <w:szCs w:val="32"/>
          <w:shd w:val="clear" w:color="auto" w:fill="FFFFFF"/>
          <w:lang w:eastAsia="zh-CN" w:bidi="en-US"/>
        </w:rPr>
        <w:t>（四）政务公开工作创新情况</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auto"/>
          <w:kern w:val="0"/>
          <w:sz w:val="32"/>
          <w:szCs w:val="32"/>
          <w:shd w:val="clear" w:color="auto" w:fill="FFFFFF"/>
          <w:lang w:eastAsia="zh-CN" w:bidi="en-US"/>
        </w:rPr>
      </w:pPr>
      <w:r>
        <w:rPr>
          <w:rFonts w:hint="default" w:ascii="Times New Roman" w:hAnsi="Times New Roman" w:eastAsia="仿宋_GB2312" w:cs="Times New Roman"/>
          <w:b w:val="0"/>
          <w:bCs w:val="0"/>
          <w:color w:val="auto"/>
          <w:kern w:val="0"/>
          <w:sz w:val="32"/>
          <w:szCs w:val="32"/>
          <w:shd w:val="clear" w:color="auto" w:fill="FFFFFF"/>
          <w:lang w:eastAsia="zh-CN" w:bidi="en-US"/>
        </w:rPr>
        <w:t>    本年度召开新闻发布会</w:t>
      </w:r>
      <w:r>
        <w:rPr>
          <w:rFonts w:hint="eastAsia" w:eastAsia="仿宋_GB2312" w:cs="Times New Roman"/>
          <w:b w:val="0"/>
          <w:bCs w:val="0"/>
          <w:color w:val="auto"/>
          <w:kern w:val="0"/>
          <w:sz w:val="32"/>
          <w:szCs w:val="32"/>
          <w:shd w:val="clear" w:color="auto" w:fill="FFFFFF"/>
          <w:lang w:val="en-US" w:eastAsia="zh-CN" w:bidi="en-US"/>
        </w:rPr>
        <w:t>2</w:t>
      </w:r>
      <w:r>
        <w:rPr>
          <w:rFonts w:hint="default" w:ascii="Times New Roman" w:hAnsi="Times New Roman" w:eastAsia="仿宋_GB2312" w:cs="Times New Roman"/>
          <w:b w:val="0"/>
          <w:bCs w:val="0"/>
          <w:color w:val="auto"/>
          <w:kern w:val="0"/>
          <w:sz w:val="32"/>
          <w:szCs w:val="32"/>
          <w:shd w:val="clear" w:color="auto" w:fill="FFFFFF"/>
          <w:lang w:eastAsia="zh-CN" w:bidi="en-US"/>
        </w:rPr>
        <w:t>次，</w:t>
      </w:r>
      <w:r>
        <w:rPr>
          <w:rFonts w:hint="eastAsia" w:eastAsia="仿宋_GB2312" w:cs="Times New Roman"/>
          <w:b w:val="0"/>
          <w:bCs w:val="0"/>
          <w:color w:val="auto"/>
          <w:kern w:val="0"/>
          <w:sz w:val="32"/>
          <w:szCs w:val="32"/>
          <w:shd w:val="clear" w:color="auto" w:fill="FFFFFF"/>
          <w:lang w:val="en-US" w:eastAsia="zh-CN" w:bidi="en-US"/>
        </w:rPr>
        <w:t>组织政府开放日4次。</w:t>
      </w:r>
      <w:r>
        <w:rPr>
          <w:rFonts w:hint="default" w:ascii="Times New Roman" w:hAnsi="Times New Roman" w:eastAsia="仿宋_GB2312" w:cs="Times New Roman"/>
          <w:b w:val="0"/>
          <w:bCs w:val="0"/>
          <w:color w:val="auto"/>
          <w:kern w:val="0"/>
          <w:sz w:val="32"/>
          <w:szCs w:val="32"/>
          <w:shd w:val="clear" w:color="auto" w:fill="FFFFFF"/>
          <w:lang w:eastAsia="zh-CN" w:bidi="en-US"/>
        </w:rPr>
        <w:t>推动政府信息公开取得新成效。</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b w:val="0"/>
          <w:bCs w:val="0"/>
          <w:color w:val="auto"/>
          <w:kern w:val="0"/>
          <w:sz w:val="44"/>
          <w:szCs w:val="44"/>
          <w:lang w:eastAsia="zh-CN" w:bidi="en-US"/>
        </w:rPr>
      </w:pP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b/>
          <w:bCs/>
          <w:color w:val="auto"/>
          <w:sz w:val="32"/>
          <w:szCs w:val="32"/>
          <w:shd w:val="clear" w:color="auto" w:fill="FFFFFF"/>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b/>
          <w:bCs/>
          <w:color w:val="auto"/>
          <w:sz w:val="32"/>
          <w:szCs w:val="32"/>
          <w:shd w:val="clear" w:color="auto" w:fill="FFFFFF"/>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b/>
          <w:bCs/>
          <w:color w:val="auto"/>
          <w:sz w:val="32"/>
          <w:szCs w:val="32"/>
          <w:shd w:val="clear" w:color="auto" w:fill="FFFFFF"/>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b/>
          <w:bCs/>
          <w:color w:val="auto"/>
          <w:sz w:val="32"/>
          <w:szCs w:val="32"/>
          <w:shd w:val="clear" w:color="auto" w:fill="FFFFFF"/>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市中区发展和改革局</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center"/>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 xml:space="preserve">                              2024年1月20日</w:t>
      </w:r>
    </w:p>
    <w:p>
      <w:pPr>
        <w:rPr>
          <w:rFonts w:hint="default" w:ascii="Times New Roman" w:hAnsi="Times New Roman" w:cs="Times New Roman" w:eastAsiaTheme="minorEastAsia"/>
          <w:color w:val="auto"/>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iKaBI8oBAAB5AwAADgAAAAAAAAABACAAAAAeAQAAZHJzL2Uyb0Rv&#10;Yy54bWxQSwUGAAAAAAYABgBZAQAAWgUAAAAA&#10;">
              <v:fill on="f" focussize="0,0"/>
              <v:stroke on="f"/>
              <v:imagedata o:title=""/>
              <o:lock v:ext="edit" aspectratio="f"/>
              <v:textbox inset="0mm,0mm,0mm,0mm" style="mso-fit-shape-to-text:t;">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59264" behindDoc="1" locked="0" layoutInCell="1" allowOverlap="1">
              <wp:simplePos x="0" y="0"/>
              <wp:positionH relativeFrom="page">
                <wp:posOffset>1313180</wp:posOffset>
              </wp:positionH>
              <wp:positionV relativeFrom="page">
                <wp:posOffset>9942195</wp:posOffset>
              </wp:positionV>
              <wp:extent cx="786130" cy="118745"/>
              <wp:effectExtent l="0" t="0" r="0" b="0"/>
              <wp:wrapNone/>
              <wp:docPr id="23" name="Shape 23"/>
              <wp:cNvGraphicFramePr/>
              <a:graphic xmlns:a="http://schemas.openxmlformats.org/drawingml/2006/main">
                <a:graphicData uri="http://schemas.microsoft.com/office/word/2010/wordprocessingShape">
                  <wps:wsp>
                    <wps:cNvSpPr txBox="1"/>
                    <wps:spPr>
                      <a:xfrm>
                        <a:off x="0" y="0"/>
                        <a:ext cx="786130" cy="118745"/>
                      </a:xfrm>
                      <a:prstGeom prst="rect">
                        <a:avLst/>
                      </a:prstGeom>
                      <a:noFill/>
                      <a:ln>
                        <a:noFill/>
                      </a:ln>
                      <a:effectLst/>
                    </wps:spPr>
                    <wps:txbx>
                      <w:txbxContent>
                        <w:p>
                          <w:pPr>
                            <w:pStyle w:val="7"/>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wps:txbx>
                    <wps:bodyPr wrap="none" lIns="0" tIns="0" rIns="0" bIns="0">
                      <a:spAutoFit/>
                    </wps:bodyPr>
                  </wps:wsp>
                </a:graphicData>
              </a:graphic>
            </wp:anchor>
          </w:drawing>
        </mc:Choice>
        <mc:Fallback>
          <w:pict>
            <v:shape id="Shape 23" o:spid="_x0000_s1026" o:spt="202" type="#_x0000_t202" style="position:absolute;left:0pt;margin-left:103.4pt;margin-top:782.85pt;height:9.35pt;width:61.9pt;mso-position-horizontal-relative:page;mso-position-vertical-relative:page;mso-wrap-style:none;z-index:-251657216;mso-width-relative:page;mso-height-relative:page;" filled="f" stroked="f" coordsize="21600,21600" o:gfxdata="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D1QpuN2AAAAA0BAAAPAAAAAAAA&#10;AAEAIAAAACIAAABkcnMvZG93bnJldi54bWxQSwECFAAUAAAACACHTuJAcy/QQqABAABJAwAADgAA&#10;AAAAAAABACAAAAAnAQAAZHJzL2Uyb0RvYy54bWxQSwUGAAAAAAYABgBZAQAAOQUAAAAA&#10;">
              <v:fill on="f" focussize="0,0"/>
              <v:stroke on="f"/>
              <v:imagedata o:title=""/>
              <o:lock v:ext="edit" aspectratio="f"/>
              <v:textbox inset="0mm,0mm,0mm,0mm" style="mso-fit-shape-to-text:t;">
                <w:txbxContent>
                  <w:p>
                    <w:pPr>
                      <w:pStyle w:val="7"/>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kMDdkYzJkZmU0MDBhYTM4YWUxMmYzMWM5NWMzY2QifQ=="/>
  </w:docVars>
  <w:rsids>
    <w:rsidRoot w:val="00112B69"/>
    <w:rsid w:val="00081823"/>
    <w:rsid w:val="00112B69"/>
    <w:rsid w:val="005A70FF"/>
    <w:rsid w:val="00B03096"/>
    <w:rsid w:val="00F0539A"/>
    <w:rsid w:val="021D046B"/>
    <w:rsid w:val="025E0CC2"/>
    <w:rsid w:val="053E2797"/>
    <w:rsid w:val="08E26B49"/>
    <w:rsid w:val="09151F1E"/>
    <w:rsid w:val="0A3E1141"/>
    <w:rsid w:val="0B8F2AB2"/>
    <w:rsid w:val="0D426B65"/>
    <w:rsid w:val="0DB7343A"/>
    <w:rsid w:val="101A475B"/>
    <w:rsid w:val="113D0C16"/>
    <w:rsid w:val="16F77107"/>
    <w:rsid w:val="1AAF71B2"/>
    <w:rsid w:val="1D276D79"/>
    <w:rsid w:val="1D464944"/>
    <w:rsid w:val="1DC53412"/>
    <w:rsid w:val="1FD24907"/>
    <w:rsid w:val="2007106B"/>
    <w:rsid w:val="227F4F5F"/>
    <w:rsid w:val="24B65C7B"/>
    <w:rsid w:val="271F6DB2"/>
    <w:rsid w:val="28BE4FD8"/>
    <w:rsid w:val="2A366FA5"/>
    <w:rsid w:val="2A6E4A40"/>
    <w:rsid w:val="2AA64C74"/>
    <w:rsid w:val="2B147E30"/>
    <w:rsid w:val="2B247393"/>
    <w:rsid w:val="2B7E7F7A"/>
    <w:rsid w:val="31835094"/>
    <w:rsid w:val="347202FC"/>
    <w:rsid w:val="34C27E73"/>
    <w:rsid w:val="372B44B7"/>
    <w:rsid w:val="37DD4F2A"/>
    <w:rsid w:val="38726196"/>
    <w:rsid w:val="390E2362"/>
    <w:rsid w:val="394E6C03"/>
    <w:rsid w:val="3CA63654"/>
    <w:rsid w:val="40FC6F44"/>
    <w:rsid w:val="41EF127E"/>
    <w:rsid w:val="424E6C95"/>
    <w:rsid w:val="42962A0C"/>
    <w:rsid w:val="43677CBB"/>
    <w:rsid w:val="43F62371"/>
    <w:rsid w:val="4A263FB9"/>
    <w:rsid w:val="4BE16E0F"/>
    <w:rsid w:val="4CE70AA9"/>
    <w:rsid w:val="53FD5799"/>
    <w:rsid w:val="54EA382C"/>
    <w:rsid w:val="587D49B7"/>
    <w:rsid w:val="59017922"/>
    <w:rsid w:val="5A8416D4"/>
    <w:rsid w:val="5A891C07"/>
    <w:rsid w:val="5AE6494C"/>
    <w:rsid w:val="5E8C7702"/>
    <w:rsid w:val="5EA95810"/>
    <w:rsid w:val="62A02DE5"/>
    <w:rsid w:val="62DF0CAC"/>
    <w:rsid w:val="64490C92"/>
    <w:rsid w:val="6CFE256C"/>
    <w:rsid w:val="6D880B3C"/>
    <w:rsid w:val="6EC52406"/>
    <w:rsid w:val="71742F46"/>
    <w:rsid w:val="72BB477E"/>
    <w:rsid w:val="743334DA"/>
    <w:rsid w:val="752124FA"/>
    <w:rsid w:val="754C48A1"/>
    <w:rsid w:val="77C6382D"/>
    <w:rsid w:val="7D726BF8"/>
    <w:rsid w:val="7F2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1131</Words>
  <Characters>6452</Characters>
  <Lines>53</Lines>
  <Paragraphs>15</Paragraphs>
  <TotalTime>29</TotalTime>
  <ScaleCrop>false</ScaleCrop>
  <LinksUpToDate>false</LinksUpToDate>
  <CharactersWithSpaces>7568</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lirong</cp:lastModifiedBy>
  <cp:lastPrinted>2021-11-02T02:00:00Z</cp:lastPrinted>
  <dcterms:modified xsi:type="dcterms:W3CDTF">2024-01-25T02:45:57Z</dcterms:modified>
  <dc:title>市中区发展和改革局</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4C753EBD9C53473B8D30905EC9657B03_12</vt:lpwstr>
  </property>
</Properties>
</file>