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60980">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color w:val="auto"/>
          <w:sz w:val="44"/>
          <w:szCs w:val="44"/>
          <w:lang w:val="en-US" w:eastAsia="zh-CN"/>
        </w:rPr>
      </w:pPr>
    </w:p>
    <w:p w14:paraId="0FC22C7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bCs/>
          <w:color w:val="auto"/>
          <w:sz w:val="44"/>
          <w:szCs w:val="44"/>
          <w:lang w:val="en-US" w:eastAsia="zh-CN"/>
        </w:rPr>
      </w:pPr>
      <w:r>
        <w:rPr>
          <w:rFonts w:hint="eastAsia" w:eastAsia="方正小标宋简体" w:cs="Times New Roman"/>
          <w:b/>
          <w:bCs/>
          <w:color w:val="auto"/>
          <w:sz w:val="44"/>
          <w:szCs w:val="44"/>
          <w:lang w:val="en-US" w:eastAsia="zh-CN"/>
        </w:rPr>
        <w:t>市中区税郭镇人民政府</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w:t>
      </w:r>
      <w:r>
        <w:rPr>
          <w:rFonts w:hint="default" w:ascii="Times New Roman" w:hAnsi="Times New Roman" w:eastAsia="仿宋_GB2312" w:cs="Times New Roman"/>
          <w:b w:val="0"/>
          <w:bCs w:val="0"/>
          <w:color w:val="auto"/>
          <w:sz w:val="32"/>
          <w:szCs w:val="32"/>
          <w:shd w:val="clear" w:color="auto" w:fill="FFFFFF"/>
          <w:lang w:eastAsia="zh-CN"/>
        </w:rPr>
        <w:t>与</w:t>
      </w:r>
      <w:r>
        <w:rPr>
          <w:rFonts w:hint="eastAsia" w:eastAsia="仿宋_GB2312" w:cs="Times New Roman"/>
          <w:b w:val="0"/>
          <w:bCs w:val="0"/>
          <w:color w:val="auto"/>
          <w:sz w:val="32"/>
          <w:szCs w:val="32"/>
          <w:shd w:val="clear" w:color="auto" w:fill="FFFFFF"/>
          <w:lang w:val="en-US" w:eastAsia="zh-CN"/>
        </w:rPr>
        <w:t>税郭镇人民政府</w:t>
      </w:r>
      <w:r>
        <w:rPr>
          <w:rFonts w:hint="default" w:ascii="Times New Roman" w:hAnsi="Times New Roman" w:eastAsia="仿宋_GB2312" w:cs="Times New Roman"/>
          <w:b w:val="0"/>
          <w:bCs w:val="0"/>
          <w:color w:val="auto"/>
          <w:sz w:val="32"/>
          <w:szCs w:val="32"/>
          <w:shd w:val="clear" w:color="auto" w:fill="FFFFFF"/>
          <w:lang w:eastAsia="zh-CN"/>
        </w:rPr>
        <w:t>联</w:t>
      </w:r>
      <w:r>
        <w:rPr>
          <w:rFonts w:hint="default" w:ascii="Times New Roman" w:hAnsi="Times New Roman" w:eastAsia="仿宋_GB2312" w:cs="Times New Roman"/>
          <w:color w:val="auto"/>
          <w:sz w:val="32"/>
          <w:szCs w:val="32"/>
          <w:shd w:val="clear" w:color="auto" w:fill="FFFFFF"/>
          <w:lang w:eastAsia="zh-CN"/>
        </w:rPr>
        <w:t>系（地址:</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s="Times New Roman"/>
          <w:color w:val="auto"/>
          <w:sz w:val="32"/>
          <w:szCs w:val="32"/>
          <w:shd w:val="clear" w:color="auto" w:fill="FFFFFF"/>
          <w:lang w:val="en-US" w:eastAsia="zh-CN"/>
        </w:rPr>
        <w:t>税郭镇驻地</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s="Times New Roman"/>
          <w:color w:val="auto"/>
          <w:sz w:val="32"/>
          <w:szCs w:val="32"/>
          <w:shd w:val="clear" w:color="auto" w:fill="FFFFFF"/>
          <w:lang w:val="en-US" w:eastAsia="zh-CN"/>
        </w:rPr>
        <w:t>3511036</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Fonts w:hint="default" w:eastAsia="仿宋_GB2312"/>
          <w:color w:val="auto"/>
          <w:sz w:val="32"/>
          <w:szCs w:val="32"/>
          <w:shd w:val="clear" w:color="auto" w:fill="FFFFFF"/>
          <w:lang w:val="en-US" w:eastAsia="zh-CN"/>
        </w:rPr>
        <w:t>shuiguozhenadmin</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hint="default" w:ascii="Times New Roman" w:hAnsi="Times New Roman" w:eastAsia="仿宋_GB2312" w:cs="Times New Roman"/>
          <w:color w:val="auto"/>
          <w:sz w:val="32"/>
          <w:szCs w:val="32"/>
          <w:shd w:val="clear" w:color="auto" w:fill="FFFFFF"/>
          <w:lang w:eastAsia="zh-CN"/>
        </w:rPr>
        <w:t>） 。</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05F43A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2025年，</w:t>
      </w:r>
      <w:r>
        <w:rPr>
          <w:rFonts w:hint="eastAsia" w:eastAsia="仿宋_GB2312" w:cs="Times New Roman"/>
          <w:bCs/>
          <w:color w:val="auto"/>
          <w:sz w:val="32"/>
          <w:szCs w:val="32"/>
          <w:lang w:val="en-US" w:eastAsia="zh-CN"/>
        </w:rPr>
        <w:t>税郭镇</w:t>
      </w:r>
      <w:r>
        <w:rPr>
          <w:rFonts w:hint="default" w:ascii="Times New Roman" w:hAnsi="Times New Roman" w:eastAsia="仿宋_GB2312" w:cs="Times New Roman"/>
          <w:bCs/>
          <w:color w:val="auto"/>
          <w:sz w:val="32"/>
          <w:szCs w:val="32"/>
          <w:lang w:val="en-US" w:eastAsia="zh-CN"/>
        </w:rPr>
        <w:t>认真贯彻落实《中华人民共和国政府信息公开条例》，着力健全完善信息公开工作体系，强化信息公开载体建设，结合我</w:t>
      </w:r>
      <w:r>
        <w:rPr>
          <w:rFonts w:hint="eastAsia" w:eastAsia="仿宋_GB2312" w:cs="Times New Roman"/>
          <w:bCs/>
          <w:color w:val="auto"/>
          <w:sz w:val="32"/>
          <w:szCs w:val="32"/>
          <w:lang w:val="en-US" w:eastAsia="zh-CN"/>
        </w:rPr>
        <w:t>镇</w:t>
      </w:r>
      <w:r>
        <w:rPr>
          <w:rFonts w:hint="default" w:ascii="Times New Roman" w:hAnsi="Times New Roman" w:eastAsia="仿宋_GB2312" w:cs="Times New Roman"/>
          <w:bCs/>
          <w:color w:val="auto"/>
          <w:sz w:val="32"/>
          <w:szCs w:val="32"/>
          <w:lang w:val="en-US" w:eastAsia="zh-CN"/>
        </w:rPr>
        <w:t>工作实际，进一步健全组织机构，完善信息公开机制，强化各项工作措施，在扩大公众知情权、满足公众信息需求方面取得了积极成效。</w:t>
      </w:r>
    </w:p>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0A93CD60">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2025年，我</w:t>
      </w:r>
      <w:r>
        <w:rPr>
          <w:rFonts w:hint="eastAsia" w:ascii="Times New Roman" w:hAnsi="Times New Roman" w:eastAsia="仿宋_GB2312" w:cs="Times New Roman"/>
          <w:bCs/>
          <w:color w:val="auto"/>
          <w:sz w:val="32"/>
          <w:szCs w:val="32"/>
          <w:lang w:val="en-US" w:eastAsia="zh-CN"/>
        </w:rPr>
        <w:t>镇</w:t>
      </w:r>
      <w:r>
        <w:rPr>
          <w:rFonts w:hint="default" w:ascii="Times New Roman" w:hAnsi="Times New Roman" w:eastAsia="仿宋_GB2312" w:cs="Times New Roman"/>
          <w:bCs/>
          <w:color w:val="auto"/>
          <w:sz w:val="32"/>
          <w:szCs w:val="32"/>
          <w:lang w:val="en-US" w:eastAsia="zh-CN"/>
        </w:rPr>
        <w:t>主动公开信息</w:t>
      </w:r>
      <w:r>
        <w:rPr>
          <w:rFonts w:hint="eastAsia" w:ascii="Times New Roman" w:hAnsi="Times New Roman" w:eastAsia="仿宋_GB2312" w:cs="Times New Roman"/>
          <w:bCs/>
          <w:color w:val="auto"/>
          <w:sz w:val="32"/>
          <w:szCs w:val="32"/>
          <w:lang w:val="en-US" w:eastAsia="zh-CN"/>
        </w:rPr>
        <w:t>545</w:t>
      </w:r>
      <w:r>
        <w:rPr>
          <w:rFonts w:hint="default" w:ascii="Times New Roman" w:hAnsi="Times New Roman" w:eastAsia="仿宋_GB2312" w:cs="Times New Roman"/>
          <w:bCs/>
          <w:color w:val="auto"/>
          <w:sz w:val="32"/>
          <w:szCs w:val="32"/>
          <w:lang w:val="en-US" w:eastAsia="zh-CN"/>
        </w:rPr>
        <w:t>条，其中在区政府门户网站公开</w:t>
      </w:r>
      <w:r>
        <w:rPr>
          <w:rFonts w:hint="eastAsia" w:ascii="Times New Roman" w:hAnsi="Times New Roman" w:eastAsia="仿宋_GB2312" w:cs="Times New Roman"/>
          <w:bCs/>
          <w:color w:val="auto"/>
          <w:sz w:val="32"/>
          <w:szCs w:val="32"/>
          <w:lang w:val="en-US" w:eastAsia="zh-CN"/>
        </w:rPr>
        <w:t>80</w:t>
      </w:r>
      <w:r>
        <w:rPr>
          <w:rFonts w:hint="default" w:ascii="Times New Roman" w:hAnsi="Times New Roman" w:eastAsia="仿宋_GB2312" w:cs="Times New Roman"/>
          <w:bCs/>
          <w:color w:val="auto"/>
          <w:sz w:val="32"/>
          <w:szCs w:val="32"/>
          <w:lang w:val="en-US" w:eastAsia="zh-CN"/>
        </w:rPr>
        <w:t>条，利用</w:t>
      </w:r>
      <w:r>
        <w:rPr>
          <w:rFonts w:hint="eastAsia" w:ascii="Times New Roman" w:hAnsi="Times New Roman" w:eastAsia="仿宋_GB2312" w:cs="Times New Roman"/>
          <w:bCs/>
          <w:color w:val="auto"/>
          <w:sz w:val="32"/>
          <w:szCs w:val="32"/>
          <w:lang w:val="en-US" w:eastAsia="zh-CN"/>
        </w:rPr>
        <w:t>大众日报、闪电新闻、枣庄日报</w:t>
      </w:r>
      <w:r>
        <w:rPr>
          <w:rFonts w:hint="default" w:ascii="Times New Roman" w:hAnsi="Times New Roman" w:eastAsia="仿宋_GB2312" w:cs="Times New Roman"/>
          <w:bCs/>
          <w:color w:val="auto"/>
          <w:sz w:val="32"/>
          <w:szCs w:val="32"/>
          <w:lang w:val="en-US" w:eastAsia="zh-CN"/>
        </w:rPr>
        <w:t>等形式公开</w:t>
      </w:r>
      <w:r>
        <w:rPr>
          <w:rFonts w:hint="eastAsia" w:ascii="Times New Roman" w:hAnsi="Times New Roman" w:eastAsia="仿宋_GB2312" w:cs="Times New Roman"/>
          <w:bCs/>
          <w:color w:val="auto"/>
          <w:sz w:val="32"/>
          <w:szCs w:val="32"/>
          <w:lang w:val="en-US" w:eastAsia="zh-CN"/>
        </w:rPr>
        <w:t>369</w:t>
      </w:r>
      <w:r>
        <w:rPr>
          <w:rFonts w:hint="default" w:ascii="Times New Roman" w:hAnsi="Times New Roman" w:eastAsia="仿宋_GB2312" w:cs="Times New Roman"/>
          <w:bCs/>
          <w:color w:val="auto"/>
          <w:sz w:val="32"/>
          <w:szCs w:val="32"/>
          <w:lang w:val="en-US" w:eastAsia="zh-CN"/>
        </w:rPr>
        <w:t>条，其他渠道公开</w:t>
      </w:r>
      <w:r>
        <w:rPr>
          <w:rFonts w:hint="eastAsia" w:ascii="Times New Roman" w:hAnsi="Times New Roman" w:eastAsia="仿宋_GB2312" w:cs="Times New Roman"/>
          <w:bCs/>
          <w:color w:val="auto"/>
          <w:sz w:val="32"/>
          <w:szCs w:val="32"/>
          <w:lang w:val="en-US" w:eastAsia="zh-CN"/>
        </w:rPr>
        <w:t>96</w:t>
      </w:r>
      <w:r>
        <w:rPr>
          <w:rFonts w:hint="default" w:ascii="Times New Roman" w:hAnsi="Times New Roman" w:eastAsia="仿宋_GB2312" w:cs="Times New Roman"/>
          <w:bCs/>
          <w:color w:val="auto"/>
          <w:sz w:val="32"/>
          <w:szCs w:val="32"/>
          <w:lang w:val="en-US" w:eastAsia="zh-CN"/>
        </w:rPr>
        <w:t>条。</w:t>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1517C64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做好依申请公开工作，依法保障民众的知情权、参与权、表达权、监督权。202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年共受理政府信息公开申请</w:t>
      </w:r>
      <w:r>
        <w:rPr>
          <w:rFonts w:hint="eastAsia"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件，</w:t>
      </w:r>
      <w:r>
        <w:rPr>
          <w:rFonts w:hint="default" w:ascii="Times New Roman" w:hAnsi="Times New Roman" w:eastAsia="仿宋_GB2312" w:cs="Times New Roman"/>
          <w:color w:val="auto"/>
          <w:sz w:val="32"/>
          <w:szCs w:val="32"/>
          <w:shd w:val="clear" w:color="auto" w:fill="FFFFFF"/>
          <w:lang w:val="en-US" w:eastAsia="zh-CN"/>
        </w:rPr>
        <w:t>涉及</w:t>
      </w:r>
      <w:r>
        <w:rPr>
          <w:rFonts w:hint="eastAsia" w:eastAsia="仿宋_GB2312" w:cs="Times New Roman"/>
          <w:color w:val="auto"/>
          <w:sz w:val="32"/>
          <w:szCs w:val="32"/>
          <w:shd w:val="clear" w:color="auto" w:fill="FFFFFF"/>
          <w:lang w:val="en-US" w:eastAsia="zh-CN"/>
        </w:rPr>
        <w:t>政务公开</w:t>
      </w:r>
      <w:r>
        <w:rPr>
          <w:rFonts w:hint="default" w:ascii="Times New Roman" w:hAnsi="Times New Roman" w:eastAsia="仿宋_GB2312" w:cs="Times New Roman"/>
          <w:color w:val="auto"/>
          <w:sz w:val="32"/>
          <w:szCs w:val="32"/>
          <w:shd w:val="clear" w:color="auto" w:fill="FFFFFF"/>
          <w:lang w:val="en-US" w:eastAsia="zh-CN"/>
        </w:rPr>
        <w:t>领域。</w:t>
      </w:r>
      <w:r>
        <w:rPr>
          <w:rFonts w:hint="eastAsia" w:eastAsia="仿宋_GB2312" w:cs="Times New Roman"/>
          <w:color w:val="auto"/>
          <w:sz w:val="32"/>
          <w:szCs w:val="32"/>
          <w:shd w:val="clear" w:color="auto" w:fill="FFFFFF"/>
          <w:lang w:val="en-US" w:eastAsia="zh-CN"/>
        </w:rPr>
        <w:t>我镇</w:t>
      </w:r>
      <w:r>
        <w:rPr>
          <w:rFonts w:hint="default" w:ascii="Times New Roman" w:hAnsi="Times New Roman" w:eastAsia="仿宋_GB2312" w:cs="Times New Roman"/>
          <w:color w:val="auto"/>
          <w:sz w:val="32"/>
          <w:szCs w:val="32"/>
          <w:shd w:val="clear" w:color="auto" w:fill="FFFFFF"/>
          <w:lang w:eastAsia="zh-CN"/>
        </w:rPr>
        <w:t>予以公开，</w:t>
      </w:r>
      <w:r>
        <w:rPr>
          <w:rFonts w:hint="eastAsia" w:eastAsia="仿宋_GB2312" w:cs="Times New Roman"/>
          <w:color w:val="auto"/>
          <w:sz w:val="32"/>
          <w:szCs w:val="32"/>
          <w:shd w:val="clear" w:color="auto" w:fill="FFFFFF"/>
          <w:lang w:val="en-US" w:eastAsia="zh-CN"/>
        </w:rPr>
        <w:t>并</w:t>
      </w:r>
      <w:r>
        <w:rPr>
          <w:rFonts w:hint="default" w:ascii="Times New Roman" w:hAnsi="Times New Roman" w:eastAsia="仿宋_GB2312" w:cs="Times New Roman"/>
          <w:color w:val="auto"/>
          <w:sz w:val="32"/>
          <w:szCs w:val="32"/>
          <w:shd w:val="clear" w:color="auto" w:fill="FFFFFF"/>
          <w:lang w:eastAsia="zh-CN"/>
        </w:rPr>
        <w:t>在法定期限内予以答复。</w:t>
      </w:r>
    </w:p>
    <w:p w14:paraId="70476A9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本年度依申请公开政府信息未收取任何费用。</w:t>
      </w:r>
    </w:p>
    <w:p w14:paraId="536D9AA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shd w:val="clear" w:color="auto" w:fill="FFFFFF"/>
          <w:lang w:eastAsia="zh-CN"/>
        </w:rPr>
        <w:t>因政府信息公开被申请行政复议</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件，因公民、法人和其他组织认为行政机关政府信息公开工作具体行政行为侵犯其合法权益，提起行政诉讼</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w:t>
      </w:r>
    </w:p>
    <w:p w14:paraId="0BC172B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2B49F6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一是完善信息公开管理流程。建立政府信息公开工作全流程管理机制，安排专人负责信息公开传送。</w:t>
      </w:r>
    </w:p>
    <w:p w14:paraId="09A512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6ADDF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三是不断完善公开制度机制。202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434AF2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2CA3D9A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5479570A">
      <w:pPr>
        <w:pStyle w:val="9"/>
        <w:keepNext w:val="0"/>
        <w:keepLines w:val="0"/>
        <w:pageBreakBefore w:val="0"/>
        <w:kinsoku/>
        <w:wordWrap/>
        <w:overflowPunct/>
        <w:topLinePunct w:val="0"/>
        <w:autoSpaceDE/>
        <w:autoSpaceDN/>
        <w:bidi w:val="0"/>
        <w:adjustRightInd/>
        <w:snapToGrid/>
        <w:spacing w:line="560" w:lineRule="exact"/>
        <w:ind w:firstLine="580"/>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仿宋_GB2312" w:cs="Times New Roman"/>
          <w:color w:val="auto"/>
          <w:sz w:val="32"/>
          <w:szCs w:val="32"/>
          <w:lang w:val="en-US" w:eastAsia="zh-CN" w:bidi="ar-SA"/>
        </w:rPr>
        <w:t>我镇高度重视政府信息公开工作，认真贯彻落实《中华人民共和国政府信息公开条例》，根据实际，及时调整了税郭镇政务公开工作领导小组，并及时更新政府班子分工情况，健全政务公开责任、审议、评议、反馈、审查和监督等六项制度，明确党政办、政务服务办等相关部门具体负责统筹、协调、编制、公布政府信息公开内容，保障政府信息及时公开到位</w:t>
      </w:r>
    </w:p>
    <w:p w14:paraId="6B437EDB">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rPr>
              <w:t>　　</w:t>
            </w:r>
            <w:r>
              <w:rPr>
                <w:rFonts w:hint="eastAsia"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rPr>
              <w:t> 　</w:t>
            </w:r>
            <w:r>
              <w:rPr>
                <w:rFonts w:hint="eastAsia"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rPr>
              <w:t>　</w:t>
            </w:r>
            <w:r>
              <w:rPr>
                <w:rFonts w:hint="eastAsia" w:eastAsia="仿宋_GB2312" w:cs="Times New Roman"/>
                <w:color w:val="auto"/>
                <w:kern w:val="0"/>
                <w:szCs w:val="21"/>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rPr>
              <w:t>　　</w:t>
            </w:r>
            <w:r>
              <w:rPr>
                <w:rFonts w:hint="eastAsia"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rPr>
              <w:t> 　</w:t>
            </w:r>
            <w:r>
              <w:rPr>
                <w:rFonts w:hint="eastAsia"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rPr>
              <w:t>　</w:t>
            </w:r>
            <w:r>
              <w:rPr>
                <w:rFonts w:hint="eastAsia" w:eastAsia="仿宋_GB2312" w:cs="Times New Roman"/>
                <w:color w:val="auto"/>
                <w:kern w:val="0"/>
                <w:szCs w:val="21"/>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rPr>
              <w:t>　</w:t>
            </w:r>
            <w:r>
              <w:rPr>
                <w:rFonts w:hint="eastAsia" w:eastAsia="仿宋_GB2312" w:cs="Times New Roman"/>
                <w:color w:val="auto"/>
                <w:kern w:val="0"/>
                <w:szCs w:val="21"/>
                <w:lang w:val="en-US" w:eastAsia="zh-CN"/>
              </w:rPr>
              <w:t>0</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rPr>
              <w:t>　</w:t>
            </w:r>
            <w:r>
              <w:rPr>
                <w:rFonts w:hint="eastAsia" w:eastAsia="仿宋_GB2312" w:cs="Times New Roman"/>
                <w:color w:val="auto"/>
                <w:kern w:val="0"/>
                <w:szCs w:val="21"/>
                <w:lang w:val="en-US" w:eastAsia="zh-CN"/>
              </w:rPr>
              <w:t>0</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rPr>
              <w:t>　</w:t>
            </w:r>
            <w:r>
              <w:rPr>
                <w:rFonts w:hint="eastAsia" w:eastAsia="仿宋_GB2312" w:cs="Times New Roman"/>
                <w:color w:val="auto"/>
                <w:kern w:val="0"/>
                <w:szCs w:val="21"/>
                <w:lang w:val="en-US" w:eastAsia="zh-CN"/>
              </w:rPr>
              <w:t>0</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rPr>
              <w:t>　</w:t>
            </w:r>
            <w:r>
              <w:rPr>
                <w:rFonts w:hint="eastAsia" w:eastAsia="仿宋_GB2312" w:cs="Times New Roman"/>
                <w:color w:val="auto"/>
                <w:kern w:val="0"/>
                <w:szCs w:val="21"/>
                <w:lang w:val="en-US" w:eastAsia="zh-CN"/>
              </w:rPr>
              <w:t>0</w:t>
            </w:r>
          </w:p>
        </w:tc>
      </w:tr>
    </w:tbl>
    <w:p w14:paraId="4E6A2AF6">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lang w:eastAsia="zh-CN"/>
        </w:rPr>
      </w:pPr>
    </w:p>
    <w:p w14:paraId="70B63120">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仿宋_GB2312"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9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0"/>
        <w:gridCol w:w="1082"/>
        <w:gridCol w:w="2514"/>
        <w:gridCol w:w="752"/>
        <w:gridCol w:w="690"/>
        <w:gridCol w:w="690"/>
        <w:gridCol w:w="895"/>
        <w:gridCol w:w="724"/>
        <w:gridCol w:w="489"/>
        <w:gridCol w:w="491"/>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restart"/>
            <w:shd w:val="clear" w:color="auto" w:fill="auto"/>
            <w:tcMar>
              <w:left w:w="108" w:type="dxa"/>
              <w:right w:w="108" w:type="dxa"/>
            </w:tcMar>
            <w:vAlign w:val="center"/>
          </w:tcPr>
          <w:p w14:paraId="5F41AE2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r>
              <w:rPr>
                <w:rFonts w:hint="default" w:ascii="Times New Roman" w:hAnsi="Times New Roman" w:eastAsia="黑体" w:cs="Times New Roman"/>
                <w:b/>
                <w:color w:val="auto"/>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2D94F9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r>
              <w:rPr>
                <w:rFonts w:hint="default" w:ascii="Times New Roman" w:hAnsi="Times New Roman" w:eastAsia="黑体" w:cs="Times New Roman"/>
                <w:b/>
                <w:color w:val="auto"/>
                <w:kern w:val="0"/>
                <w:sz w:val="21"/>
                <w:szCs w:val="21"/>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31BBF00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p>
        </w:tc>
        <w:tc>
          <w:tcPr>
            <w:tcW w:w="752" w:type="dxa"/>
            <w:vMerge w:val="restart"/>
            <w:shd w:val="clear" w:color="auto" w:fill="auto"/>
            <w:tcMar>
              <w:left w:w="108" w:type="dxa"/>
              <w:right w:w="108" w:type="dxa"/>
            </w:tcMar>
            <w:vAlign w:val="center"/>
          </w:tcPr>
          <w:p w14:paraId="41E6E79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r>
              <w:rPr>
                <w:rFonts w:hint="default" w:ascii="Times New Roman" w:hAnsi="Times New Roman" w:eastAsia="黑体" w:cs="Times New Roman"/>
                <w:b/>
                <w:color w:val="auto"/>
                <w:kern w:val="0"/>
                <w:sz w:val="21"/>
                <w:szCs w:val="21"/>
                <w:lang w:eastAsia="zh-CN" w:bidi="ar-SA"/>
              </w:rPr>
              <w:t>自然人</w:t>
            </w:r>
          </w:p>
        </w:tc>
        <w:tc>
          <w:tcPr>
            <w:tcW w:w="489" w:type="dxa"/>
            <w:gridSpan w:val="5"/>
            <w:shd w:val="clear" w:color="auto" w:fill="auto"/>
            <w:tcMar>
              <w:left w:w="108" w:type="dxa"/>
              <w:right w:w="108" w:type="dxa"/>
            </w:tcMar>
            <w:vAlign w:val="center"/>
          </w:tcPr>
          <w:p w14:paraId="393CED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r>
              <w:rPr>
                <w:rFonts w:hint="default" w:ascii="Times New Roman" w:hAnsi="Times New Roman" w:eastAsia="黑体" w:cs="Times New Roman"/>
                <w:b/>
                <w:color w:val="auto"/>
                <w:kern w:val="0"/>
                <w:sz w:val="21"/>
                <w:szCs w:val="21"/>
                <w:lang w:eastAsia="zh-CN" w:bidi="ar-SA"/>
              </w:rPr>
              <w:t>法人或其他组织</w:t>
            </w:r>
          </w:p>
        </w:tc>
        <w:tc>
          <w:tcPr>
            <w:tcW w:w="491" w:type="dxa"/>
            <w:vMerge w:val="restart"/>
            <w:shd w:val="clear" w:color="auto" w:fill="auto"/>
            <w:tcMar>
              <w:left w:w="108" w:type="dxa"/>
              <w:right w:w="108" w:type="dxa"/>
            </w:tcMar>
            <w:vAlign w:val="center"/>
          </w:tcPr>
          <w:p w14:paraId="59B716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r>
              <w:rPr>
                <w:rFonts w:hint="default" w:ascii="Times New Roman" w:hAnsi="Times New Roman" w:eastAsia="黑体" w:cs="Times New Roman"/>
                <w:b/>
                <w:color w:val="auto"/>
                <w:kern w:val="0"/>
                <w:sz w:val="21"/>
                <w:szCs w:val="21"/>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61116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p>
        </w:tc>
        <w:tc>
          <w:tcPr>
            <w:tcW w:w="752" w:type="dxa"/>
            <w:vMerge w:val="continue"/>
            <w:shd w:val="clear" w:color="auto" w:fill="auto"/>
            <w:tcMar>
              <w:left w:w="108" w:type="dxa"/>
              <w:right w:w="108" w:type="dxa"/>
            </w:tcMar>
            <w:vAlign w:val="center"/>
          </w:tcPr>
          <w:p w14:paraId="25E7187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p>
        </w:tc>
        <w:tc>
          <w:tcPr>
            <w:tcW w:w="690" w:type="dxa"/>
            <w:shd w:val="clear" w:color="auto" w:fill="auto"/>
            <w:tcMar>
              <w:left w:w="108" w:type="dxa"/>
              <w:right w:w="108" w:type="dxa"/>
            </w:tcMar>
            <w:vAlign w:val="center"/>
          </w:tcPr>
          <w:p w14:paraId="44B8D8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r>
              <w:rPr>
                <w:rFonts w:hint="default" w:ascii="Times New Roman" w:hAnsi="Times New Roman" w:eastAsia="黑体" w:cs="Times New Roman"/>
                <w:b/>
                <w:color w:val="auto"/>
                <w:kern w:val="0"/>
                <w:sz w:val="21"/>
                <w:szCs w:val="21"/>
                <w:lang w:eastAsia="zh-CN" w:bidi="ar-SA"/>
              </w:rPr>
              <w:t>商业企业</w:t>
            </w:r>
          </w:p>
        </w:tc>
        <w:tc>
          <w:tcPr>
            <w:tcW w:w="690" w:type="dxa"/>
            <w:shd w:val="clear" w:color="auto" w:fill="auto"/>
            <w:tcMar>
              <w:left w:w="108" w:type="dxa"/>
              <w:right w:w="108" w:type="dxa"/>
            </w:tcMar>
            <w:vAlign w:val="center"/>
          </w:tcPr>
          <w:p w14:paraId="2639F86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r>
              <w:rPr>
                <w:rFonts w:hint="default" w:ascii="Times New Roman" w:hAnsi="Times New Roman" w:eastAsia="黑体" w:cs="Times New Roman"/>
                <w:b/>
                <w:color w:val="auto"/>
                <w:kern w:val="0"/>
                <w:sz w:val="21"/>
                <w:szCs w:val="21"/>
                <w:lang w:eastAsia="zh-CN" w:bidi="ar-SA"/>
              </w:rPr>
              <w:t>科研机构</w:t>
            </w:r>
          </w:p>
        </w:tc>
        <w:tc>
          <w:tcPr>
            <w:tcW w:w="895" w:type="dxa"/>
            <w:shd w:val="clear" w:color="auto" w:fill="auto"/>
            <w:tcMar>
              <w:left w:w="108" w:type="dxa"/>
              <w:right w:w="108" w:type="dxa"/>
            </w:tcMar>
            <w:vAlign w:val="center"/>
          </w:tcPr>
          <w:p w14:paraId="3076DB2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r>
              <w:rPr>
                <w:rFonts w:hint="default" w:ascii="Times New Roman" w:hAnsi="Times New Roman" w:eastAsia="黑体" w:cs="Times New Roman"/>
                <w:b/>
                <w:color w:val="auto"/>
                <w:kern w:val="0"/>
                <w:sz w:val="21"/>
                <w:szCs w:val="21"/>
                <w:lang w:eastAsia="zh-CN" w:bidi="ar-SA"/>
              </w:rPr>
              <w:t>社会公益组织</w:t>
            </w:r>
          </w:p>
        </w:tc>
        <w:tc>
          <w:tcPr>
            <w:tcW w:w="724" w:type="dxa"/>
            <w:shd w:val="clear" w:color="auto" w:fill="auto"/>
            <w:tcMar>
              <w:left w:w="108" w:type="dxa"/>
              <w:right w:w="108" w:type="dxa"/>
            </w:tcMar>
            <w:vAlign w:val="center"/>
          </w:tcPr>
          <w:p w14:paraId="3BBC7A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r>
              <w:rPr>
                <w:rFonts w:hint="default" w:ascii="Times New Roman" w:hAnsi="Times New Roman" w:eastAsia="黑体" w:cs="Times New Roman"/>
                <w:b/>
                <w:color w:val="auto"/>
                <w:kern w:val="0"/>
                <w:sz w:val="21"/>
                <w:szCs w:val="21"/>
                <w:lang w:eastAsia="zh-CN" w:bidi="ar-SA"/>
              </w:rPr>
              <w:t>法律服务机构</w:t>
            </w:r>
          </w:p>
        </w:tc>
        <w:tc>
          <w:tcPr>
            <w:tcW w:w="489" w:type="dxa"/>
            <w:shd w:val="clear" w:color="auto" w:fill="auto"/>
            <w:tcMar>
              <w:left w:w="108" w:type="dxa"/>
              <w:right w:w="108" w:type="dxa"/>
            </w:tcMar>
            <w:vAlign w:val="center"/>
          </w:tcPr>
          <w:p w14:paraId="0254570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r>
              <w:rPr>
                <w:rFonts w:hint="default" w:ascii="Times New Roman" w:hAnsi="Times New Roman" w:eastAsia="黑体" w:cs="Times New Roman"/>
                <w:b/>
                <w:color w:val="auto"/>
                <w:kern w:val="0"/>
                <w:sz w:val="21"/>
                <w:szCs w:val="21"/>
                <w:lang w:eastAsia="zh-CN" w:bidi="ar-SA"/>
              </w:rPr>
              <w:t>其他</w:t>
            </w:r>
          </w:p>
        </w:tc>
        <w:tc>
          <w:tcPr>
            <w:tcW w:w="491" w:type="dxa"/>
            <w:vMerge w:val="continue"/>
            <w:shd w:val="clear" w:color="auto" w:fill="auto"/>
            <w:tcMar>
              <w:left w:w="108" w:type="dxa"/>
              <w:right w:w="108" w:type="dxa"/>
            </w:tcMar>
            <w:vAlign w:val="center"/>
          </w:tcPr>
          <w:p w14:paraId="5604E28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color w:val="auto"/>
                <w:kern w:val="2"/>
                <w:sz w:val="21"/>
                <w:szCs w:val="21"/>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7225899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一、</w:t>
            </w:r>
            <w:bookmarkStart w:id="0" w:name="_Hlk66973412"/>
            <w:r>
              <w:rPr>
                <w:rFonts w:hint="default" w:ascii="Times New Roman" w:hAnsi="Times New Roman" w:eastAsia="仿宋_GB2312" w:cs="Times New Roman"/>
                <w:color w:val="auto"/>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4098FD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1</w:t>
            </w:r>
          </w:p>
        </w:tc>
        <w:tc>
          <w:tcPr>
            <w:tcW w:w="690" w:type="dxa"/>
            <w:shd w:val="clear" w:color="auto" w:fill="auto"/>
            <w:tcMar>
              <w:left w:w="108" w:type="dxa"/>
              <w:right w:w="108" w:type="dxa"/>
            </w:tcMar>
            <w:vAlign w:val="center"/>
          </w:tcPr>
          <w:p w14:paraId="7EA571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33D9570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746B773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4372D36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0CBE79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6937889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1</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5E48B0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0A433C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6993E1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4CA22B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6E3B3B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02945E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17518A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26D1CB4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restart"/>
            <w:shd w:val="clear" w:color="auto" w:fill="auto"/>
            <w:tcMar>
              <w:left w:w="108" w:type="dxa"/>
              <w:right w:w="108" w:type="dxa"/>
            </w:tcMar>
            <w:vAlign w:val="center"/>
          </w:tcPr>
          <w:p w14:paraId="0989E0F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三、本年度办理结果</w:t>
            </w:r>
          </w:p>
        </w:tc>
        <w:tc>
          <w:tcPr>
            <w:tcW w:w="2514" w:type="dxa"/>
            <w:gridSpan w:val="2"/>
            <w:shd w:val="clear" w:color="auto" w:fill="auto"/>
            <w:tcMar>
              <w:left w:w="108" w:type="dxa"/>
              <w:right w:w="108" w:type="dxa"/>
            </w:tcMar>
            <w:vAlign w:val="center"/>
          </w:tcPr>
          <w:p w14:paraId="76FF7A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（一）予以公开</w:t>
            </w:r>
          </w:p>
        </w:tc>
        <w:tc>
          <w:tcPr>
            <w:tcW w:w="752" w:type="dxa"/>
            <w:shd w:val="clear" w:color="auto" w:fill="auto"/>
            <w:tcMar>
              <w:left w:w="108" w:type="dxa"/>
              <w:right w:w="108" w:type="dxa"/>
            </w:tcMar>
            <w:vAlign w:val="center"/>
          </w:tcPr>
          <w:p w14:paraId="77603D0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1</w:t>
            </w:r>
          </w:p>
        </w:tc>
        <w:tc>
          <w:tcPr>
            <w:tcW w:w="690" w:type="dxa"/>
            <w:shd w:val="clear" w:color="auto" w:fill="auto"/>
            <w:tcMar>
              <w:left w:w="108" w:type="dxa"/>
              <w:right w:w="108" w:type="dxa"/>
            </w:tcMar>
            <w:vAlign w:val="center"/>
          </w:tcPr>
          <w:p w14:paraId="5A4E9E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4F60E1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31C836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7B11E7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5732A84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2CE09C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1</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AB37C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gridSpan w:val="2"/>
            <w:shd w:val="clear" w:color="auto" w:fill="auto"/>
            <w:tcMar>
              <w:left w:w="108" w:type="dxa"/>
              <w:right w:w="108" w:type="dxa"/>
            </w:tcMar>
            <w:vAlign w:val="center"/>
          </w:tcPr>
          <w:p w14:paraId="6C471E1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（二）部分公开（</w:t>
            </w:r>
            <w:bookmarkStart w:id="1" w:name="_Hlk66973981"/>
            <w:r>
              <w:rPr>
                <w:rFonts w:hint="default" w:ascii="Times New Roman" w:hAnsi="Times New Roman" w:eastAsia="仿宋_GB2312" w:cs="Times New Roman"/>
                <w:color w:val="auto"/>
                <w:kern w:val="0"/>
                <w:sz w:val="21"/>
                <w:szCs w:val="21"/>
                <w:lang w:eastAsia="zh-CN" w:bidi="ar-SA"/>
              </w:rPr>
              <w:t>区分处理的，只计这一情形，不计其他情形</w:t>
            </w:r>
            <w:bookmarkEnd w:id="1"/>
            <w:r>
              <w:rPr>
                <w:rFonts w:hint="default" w:ascii="Times New Roman" w:hAnsi="Times New Roman" w:eastAsia="仿宋_GB2312" w:cs="Times New Roman"/>
                <w:color w:val="auto"/>
                <w:kern w:val="0"/>
                <w:sz w:val="21"/>
                <w:szCs w:val="21"/>
                <w:lang w:eastAsia="zh-CN" w:bidi="ar-SA"/>
              </w:rPr>
              <w:t>）</w:t>
            </w:r>
          </w:p>
        </w:tc>
        <w:tc>
          <w:tcPr>
            <w:tcW w:w="752" w:type="dxa"/>
            <w:shd w:val="clear" w:color="auto" w:fill="auto"/>
            <w:tcMar>
              <w:left w:w="108" w:type="dxa"/>
              <w:right w:w="108" w:type="dxa"/>
            </w:tcMar>
            <w:vAlign w:val="center"/>
          </w:tcPr>
          <w:p w14:paraId="286DBD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05E1D0A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01ED8A4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39D3C1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1608D7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7A465CE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17296E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D22ED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restart"/>
            <w:shd w:val="clear" w:color="auto" w:fill="auto"/>
            <w:tcMar>
              <w:left w:w="108" w:type="dxa"/>
              <w:right w:w="108" w:type="dxa"/>
            </w:tcMar>
            <w:vAlign w:val="center"/>
          </w:tcPr>
          <w:p w14:paraId="5139BB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（三）不予公开</w:t>
            </w:r>
          </w:p>
        </w:tc>
        <w:tc>
          <w:tcPr>
            <w:tcW w:w="2514" w:type="dxa"/>
            <w:shd w:val="clear" w:color="auto" w:fill="auto"/>
            <w:tcMar>
              <w:left w:w="108" w:type="dxa"/>
              <w:right w:w="108" w:type="dxa"/>
            </w:tcMar>
            <w:vAlign w:val="center"/>
          </w:tcPr>
          <w:p w14:paraId="5043CB3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1.属于国家秘密</w:t>
            </w:r>
          </w:p>
        </w:tc>
        <w:tc>
          <w:tcPr>
            <w:tcW w:w="752" w:type="dxa"/>
            <w:shd w:val="clear" w:color="auto" w:fill="auto"/>
            <w:tcMar>
              <w:left w:w="108" w:type="dxa"/>
              <w:right w:w="108" w:type="dxa"/>
            </w:tcMar>
            <w:vAlign w:val="center"/>
          </w:tcPr>
          <w:p w14:paraId="7B1B6B6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2B8C26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30EBB6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17B672D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2FBC23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2AAEC87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1D1263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6D234E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47A4227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7519D2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2.</w:t>
            </w:r>
            <w:bookmarkStart w:id="2" w:name="_Hlk66974104"/>
            <w:r>
              <w:rPr>
                <w:rFonts w:hint="default" w:ascii="Times New Roman" w:hAnsi="Times New Roman" w:eastAsia="仿宋_GB2312" w:cs="Times New Roman"/>
                <w:color w:val="auto"/>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3F80F1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40D3CA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718F63E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5AA6C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33A3DF9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1AD4FE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1383BC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62E894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441C4DE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34277C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3.危及“三安全一稳定”</w:t>
            </w:r>
          </w:p>
        </w:tc>
        <w:tc>
          <w:tcPr>
            <w:tcW w:w="752" w:type="dxa"/>
            <w:shd w:val="clear" w:color="auto" w:fill="auto"/>
            <w:tcMar>
              <w:left w:w="108" w:type="dxa"/>
              <w:right w:w="108" w:type="dxa"/>
            </w:tcMar>
            <w:vAlign w:val="center"/>
          </w:tcPr>
          <w:p w14:paraId="3B4C284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5852188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2D77CB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64FAB8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0A3EA8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40E50A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3DE659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B66575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1C6AB0F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1729D7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4.</w:t>
            </w:r>
            <w:bookmarkStart w:id="3" w:name="_Hlk66974290"/>
            <w:r>
              <w:rPr>
                <w:rFonts w:hint="default" w:ascii="Times New Roman" w:hAnsi="Times New Roman" w:eastAsia="仿宋_GB2312" w:cs="Times New Roman"/>
                <w:color w:val="auto"/>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2C6E3B8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47A4951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03D9E27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069AE4B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0B5AC9B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1D5B7E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437FE41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8CBB34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718CCD5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2BF4D55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5.属于三类内部事务信息</w:t>
            </w:r>
          </w:p>
        </w:tc>
        <w:tc>
          <w:tcPr>
            <w:tcW w:w="752" w:type="dxa"/>
            <w:shd w:val="clear" w:color="auto" w:fill="auto"/>
            <w:tcMar>
              <w:left w:w="108" w:type="dxa"/>
              <w:right w:w="108" w:type="dxa"/>
            </w:tcMar>
            <w:vAlign w:val="center"/>
          </w:tcPr>
          <w:p w14:paraId="69F00A9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1B4B19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0768A4F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553B98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511D03E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6C3DD8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211BDA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0E2FAF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18BB619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13C98D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6.</w:t>
            </w:r>
            <w:bookmarkStart w:id="4" w:name="_Hlk66974555"/>
            <w:r>
              <w:rPr>
                <w:rFonts w:hint="default" w:ascii="Times New Roman" w:hAnsi="Times New Roman" w:eastAsia="仿宋_GB2312" w:cs="Times New Roman"/>
                <w:color w:val="auto"/>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147302A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14F1BF5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2A399D4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2683FF4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7DE5FD9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663C49F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2E9B38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78AD95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537BC64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5FEA3C2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7.属于行政执法案卷</w:t>
            </w:r>
          </w:p>
        </w:tc>
        <w:tc>
          <w:tcPr>
            <w:tcW w:w="752" w:type="dxa"/>
            <w:shd w:val="clear" w:color="auto" w:fill="auto"/>
            <w:tcMar>
              <w:left w:w="108" w:type="dxa"/>
              <w:right w:w="108" w:type="dxa"/>
            </w:tcMar>
            <w:vAlign w:val="center"/>
          </w:tcPr>
          <w:p w14:paraId="35E43F8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7209A92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2EC9E22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1401EF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4D12DC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3481E5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747801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4E76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5CD2732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3E4459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8.</w:t>
            </w:r>
            <w:bookmarkStart w:id="5" w:name="_Hlk66975211"/>
            <w:r>
              <w:rPr>
                <w:rFonts w:hint="default" w:ascii="Times New Roman" w:hAnsi="Times New Roman" w:eastAsia="仿宋_GB2312" w:cs="Times New Roman"/>
                <w:color w:val="auto"/>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094E47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18E632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10BED3C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62B42DB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1ACAB2D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50B10E8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112091E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2B1CBA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restart"/>
            <w:shd w:val="clear" w:color="auto" w:fill="auto"/>
            <w:tcMar>
              <w:left w:w="108" w:type="dxa"/>
              <w:right w:w="108" w:type="dxa"/>
            </w:tcMar>
            <w:vAlign w:val="center"/>
          </w:tcPr>
          <w:p w14:paraId="0F250D9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（四）无法提供</w:t>
            </w:r>
          </w:p>
        </w:tc>
        <w:tc>
          <w:tcPr>
            <w:tcW w:w="2514" w:type="dxa"/>
            <w:shd w:val="clear" w:color="auto" w:fill="auto"/>
            <w:tcMar>
              <w:left w:w="108" w:type="dxa"/>
              <w:right w:w="108" w:type="dxa"/>
            </w:tcMar>
            <w:vAlign w:val="center"/>
          </w:tcPr>
          <w:p w14:paraId="77D5F5D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22C0A1F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1B232F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079F841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7AD3B4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14DD2B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29C66F7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2C559D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C13DF3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49E08DF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67660F1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2.</w:t>
            </w:r>
            <w:bookmarkStart w:id="6" w:name="_Hlk66975392"/>
            <w:r>
              <w:rPr>
                <w:rFonts w:hint="default" w:ascii="Times New Roman" w:hAnsi="Times New Roman" w:eastAsia="仿宋_GB2312" w:cs="Times New Roman"/>
                <w:color w:val="auto"/>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472677A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1450D18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2AC1D3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6F90D4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5A76A4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2CF71B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127F8F5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0FEF20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50E6178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4BDBFBF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3.</w:t>
            </w:r>
            <w:bookmarkStart w:id="7" w:name="_Hlk66975466"/>
            <w:r>
              <w:rPr>
                <w:rFonts w:hint="default" w:ascii="Times New Roman" w:hAnsi="Times New Roman" w:eastAsia="仿宋_GB2312" w:cs="Times New Roman"/>
                <w:color w:val="auto"/>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1D9925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50ED78D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0D91D19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7CD7DF1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63E921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6FC4B58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271785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500506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restart"/>
            <w:shd w:val="clear" w:color="auto" w:fill="auto"/>
            <w:tcMar>
              <w:left w:w="108" w:type="dxa"/>
              <w:right w:w="108" w:type="dxa"/>
            </w:tcMar>
            <w:vAlign w:val="center"/>
          </w:tcPr>
          <w:p w14:paraId="370E1C6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（五）不予处理</w:t>
            </w:r>
          </w:p>
        </w:tc>
        <w:tc>
          <w:tcPr>
            <w:tcW w:w="2514" w:type="dxa"/>
            <w:shd w:val="clear" w:color="auto" w:fill="auto"/>
            <w:tcMar>
              <w:left w:w="108" w:type="dxa"/>
              <w:right w:w="108" w:type="dxa"/>
            </w:tcMar>
            <w:vAlign w:val="center"/>
          </w:tcPr>
          <w:p w14:paraId="65124A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1.</w:t>
            </w:r>
            <w:bookmarkStart w:id="8" w:name="_Hlk66975537"/>
            <w:r>
              <w:rPr>
                <w:rFonts w:hint="default" w:ascii="Times New Roman" w:hAnsi="Times New Roman" w:eastAsia="仿宋_GB2312" w:cs="Times New Roman"/>
                <w:color w:val="auto"/>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5D6534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2C7F0EB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24A8BE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07935D6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10B4EC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0716F6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58C203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94460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47765D4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5FA6602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2.重复申请</w:t>
            </w:r>
          </w:p>
        </w:tc>
        <w:tc>
          <w:tcPr>
            <w:tcW w:w="752" w:type="dxa"/>
            <w:shd w:val="clear" w:color="auto" w:fill="auto"/>
            <w:tcMar>
              <w:left w:w="108" w:type="dxa"/>
              <w:right w:w="108" w:type="dxa"/>
            </w:tcMar>
            <w:vAlign w:val="center"/>
          </w:tcPr>
          <w:p w14:paraId="69D3D7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6DD879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603403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544110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2DC505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66BC36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69D946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7AC1B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2EE583B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448C3D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3.要求提供公开出版物</w:t>
            </w:r>
          </w:p>
        </w:tc>
        <w:tc>
          <w:tcPr>
            <w:tcW w:w="752" w:type="dxa"/>
            <w:shd w:val="clear" w:color="auto" w:fill="auto"/>
            <w:tcMar>
              <w:left w:w="108" w:type="dxa"/>
              <w:right w:w="108" w:type="dxa"/>
            </w:tcMar>
            <w:vAlign w:val="center"/>
          </w:tcPr>
          <w:p w14:paraId="395002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284B681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0DD1BC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15DD4A1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58B6EE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73EEB30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00B19B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98E072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79713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27D2E4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2129B23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59FFAD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58A6F9B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26E101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220323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3F889C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4F06DE5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B6DFD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20E94EC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2514" w:type="dxa"/>
            <w:shd w:val="clear" w:color="auto" w:fill="auto"/>
            <w:tcMar>
              <w:left w:w="108" w:type="dxa"/>
              <w:right w:w="108" w:type="dxa"/>
            </w:tcMar>
            <w:vAlign w:val="center"/>
          </w:tcPr>
          <w:p w14:paraId="2D33B5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5.要求行政机关确认或重新</w:t>
            </w:r>
          </w:p>
          <w:p w14:paraId="4C3AD8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r>
              <w:rPr>
                <w:rFonts w:hint="default" w:ascii="Times New Roman" w:hAnsi="Times New Roman" w:eastAsia="仿宋_GB2312" w:cs="Times New Roman"/>
                <w:color w:val="auto"/>
                <w:kern w:val="0"/>
                <w:sz w:val="21"/>
                <w:szCs w:val="21"/>
                <w:lang w:eastAsia="zh-CN" w:bidi="ar-SA"/>
              </w:rPr>
              <w:t>出具已获取信息</w:t>
            </w:r>
          </w:p>
        </w:tc>
        <w:tc>
          <w:tcPr>
            <w:tcW w:w="752" w:type="dxa"/>
            <w:shd w:val="clear" w:color="auto" w:fill="auto"/>
            <w:tcMar>
              <w:left w:w="108" w:type="dxa"/>
              <w:right w:w="108" w:type="dxa"/>
            </w:tcMar>
            <w:vAlign w:val="center"/>
          </w:tcPr>
          <w:p w14:paraId="2DB8E98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70A016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5BB77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398414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096AA7E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4058093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6F2BB6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FEB6AC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restart"/>
            <w:shd w:val="clear" w:color="auto" w:fill="auto"/>
            <w:tcMar>
              <w:left w:w="108" w:type="dxa"/>
              <w:right w:w="108" w:type="dxa"/>
            </w:tcMar>
            <w:vAlign w:val="center"/>
          </w:tcPr>
          <w:p w14:paraId="3795D4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（六）其他处理</w:t>
            </w:r>
          </w:p>
        </w:tc>
        <w:tc>
          <w:tcPr>
            <w:tcW w:w="2514" w:type="dxa"/>
            <w:shd w:val="clear" w:color="auto" w:fill="auto"/>
            <w:vAlign w:val="center"/>
          </w:tcPr>
          <w:p w14:paraId="534C459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2"/>
                <w:lang w:eastAsia="zh-CN" w:bidi="ar-SA"/>
              </w:rPr>
            </w:pPr>
            <w:r>
              <w:rPr>
                <w:rFonts w:hint="default" w:ascii="Times New Roman" w:hAnsi="Times New Roman" w:eastAsia="仿宋_GB2312" w:cs="Times New Roman"/>
                <w:color w:val="auto"/>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5822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343CA1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3E2B04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16058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4BDA70A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55F775A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09289A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8E97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6D09290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p>
        </w:tc>
        <w:tc>
          <w:tcPr>
            <w:tcW w:w="2514" w:type="dxa"/>
            <w:shd w:val="clear" w:color="auto" w:fill="auto"/>
            <w:vAlign w:val="center"/>
          </w:tcPr>
          <w:p w14:paraId="620957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00534CA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36C468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5796E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692913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12FC46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6AB216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1513B73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5E3AAF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1"/>
                <w:szCs w:val="21"/>
                <w:lang w:eastAsia="zh-CN" w:bidi="ar-SA"/>
              </w:rPr>
            </w:pPr>
          </w:p>
        </w:tc>
        <w:tc>
          <w:tcPr>
            <w:tcW w:w="1082" w:type="dxa"/>
            <w:vMerge w:val="continue"/>
            <w:shd w:val="clear" w:color="auto" w:fill="auto"/>
            <w:tcMar>
              <w:left w:w="108" w:type="dxa"/>
              <w:right w:w="108" w:type="dxa"/>
            </w:tcMar>
            <w:vAlign w:val="center"/>
          </w:tcPr>
          <w:p w14:paraId="1D95747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p>
        </w:tc>
        <w:tc>
          <w:tcPr>
            <w:tcW w:w="2514" w:type="dxa"/>
            <w:shd w:val="clear" w:color="auto" w:fill="auto"/>
            <w:vAlign w:val="center"/>
          </w:tcPr>
          <w:p w14:paraId="1B06D8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2"/>
                <w:sz w:val="21"/>
                <w:szCs w:val="22"/>
                <w:lang w:eastAsia="zh-CN" w:bidi="ar-SA"/>
              </w:rPr>
              <w:t>3.其他</w:t>
            </w:r>
          </w:p>
        </w:tc>
        <w:tc>
          <w:tcPr>
            <w:tcW w:w="752" w:type="dxa"/>
            <w:shd w:val="clear" w:color="auto" w:fill="auto"/>
            <w:tcMar>
              <w:left w:w="108" w:type="dxa"/>
              <w:right w:w="108" w:type="dxa"/>
            </w:tcMar>
            <w:vAlign w:val="center"/>
          </w:tcPr>
          <w:p w14:paraId="64DBBF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3BE2F6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2A7E65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63D1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3211D9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1489E3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03EF2A2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0433F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color w:val="auto"/>
                <w:kern w:val="2"/>
                <w:sz w:val="21"/>
                <w:szCs w:val="21"/>
                <w:lang w:eastAsia="zh-CN" w:bidi="ar-SA"/>
              </w:rPr>
            </w:pPr>
          </w:p>
        </w:tc>
        <w:tc>
          <w:tcPr>
            <w:tcW w:w="2514" w:type="dxa"/>
            <w:gridSpan w:val="2"/>
            <w:shd w:val="clear" w:color="auto" w:fill="auto"/>
            <w:tcMar>
              <w:left w:w="108" w:type="dxa"/>
              <w:right w:w="108" w:type="dxa"/>
            </w:tcMar>
            <w:vAlign w:val="center"/>
          </w:tcPr>
          <w:p w14:paraId="6E4B35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color w:val="auto"/>
                <w:kern w:val="0"/>
                <w:sz w:val="21"/>
                <w:szCs w:val="21"/>
                <w:lang w:eastAsia="zh-CN" w:bidi="ar-SA"/>
              </w:rPr>
            </w:pPr>
            <w:r>
              <w:rPr>
                <w:rFonts w:hint="default" w:ascii="Times New Roman" w:hAnsi="Times New Roman" w:eastAsia="仿宋_GB2312" w:cs="Times New Roman"/>
                <w:b/>
                <w:color w:val="auto"/>
                <w:kern w:val="0"/>
                <w:sz w:val="21"/>
                <w:szCs w:val="21"/>
                <w:lang w:eastAsia="zh-CN" w:bidi="ar-SA"/>
              </w:rPr>
              <w:t>（七）总计</w:t>
            </w:r>
          </w:p>
        </w:tc>
        <w:tc>
          <w:tcPr>
            <w:tcW w:w="752" w:type="dxa"/>
            <w:shd w:val="clear" w:color="auto" w:fill="auto"/>
            <w:tcMar>
              <w:left w:w="108" w:type="dxa"/>
              <w:right w:w="108" w:type="dxa"/>
            </w:tcMar>
            <w:vAlign w:val="center"/>
          </w:tcPr>
          <w:p w14:paraId="2FA580E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auto"/>
                <w:kern w:val="2"/>
                <w:sz w:val="21"/>
                <w:szCs w:val="21"/>
                <w:lang w:val="en-US" w:eastAsia="zh-CN" w:bidi="ar-SA"/>
              </w:rPr>
            </w:pPr>
            <w:r>
              <w:rPr>
                <w:rFonts w:hint="eastAsia" w:ascii="Times New Roman" w:eastAsia="仿宋_GB2312" w:cs="Times New Roman"/>
                <w:b/>
                <w:color w:val="auto"/>
                <w:kern w:val="2"/>
                <w:sz w:val="21"/>
                <w:szCs w:val="21"/>
                <w:lang w:val="en-US" w:eastAsia="zh-CN" w:bidi="ar-SA"/>
              </w:rPr>
              <w:t>1</w:t>
            </w:r>
          </w:p>
        </w:tc>
        <w:tc>
          <w:tcPr>
            <w:tcW w:w="690" w:type="dxa"/>
            <w:shd w:val="clear" w:color="auto" w:fill="auto"/>
            <w:tcMar>
              <w:left w:w="108" w:type="dxa"/>
              <w:right w:w="108" w:type="dxa"/>
            </w:tcMar>
            <w:vAlign w:val="center"/>
          </w:tcPr>
          <w:p w14:paraId="62A1C34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auto"/>
                <w:kern w:val="2"/>
                <w:sz w:val="21"/>
                <w:szCs w:val="21"/>
                <w:lang w:val="en-US" w:eastAsia="zh-CN" w:bidi="ar-SA"/>
              </w:rPr>
            </w:pPr>
            <w:r>
              <w:rPr>
                <w:rFonts w:hint="eastAsia" w:ascii="Times New Roman" w:eastAsia="仿宋_GB2312" w:cs="Times New Roman"/>
                <w:b/>
                <w:color w:val="auto"/>
                <w:kern w:val="2"/>
                <w:sz w:val="21"/>
                <w:szCs w:val="21"/>
                <w:lang w:val="en-US" w:eastAsia="zh-CN" w:bidi="ar-SA"/>
              </w:rPr>
              <w:t>0</w:t>
            </w:r>
          </w:p>
        </w:tc>
        <w:tc>
          <w:tcPr>
            <w:tcW w:w="690" w:type="dxa"/>
            <w:shd w:val="clear" w:color="auto" w:fill="auto"/>
            <w:tcMar>
              <w:left w:w="108" w:type="dxa"/>
              <w:right w:w="108" w:type="dxa"/>
            </w:tcMar>
            <w:vAlign w:val="center"/>
          </w:tcPr>
          <w:p w14:paraId="1BAE0FC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auto"/>
                <w:kern w:val="2"/>
                <w:sz w:val="21"/>
                <w:szCs w:val="21"/>
                <w:lang w:val="en-US" w:eastAsia="zh-CN" w:bidi="ar-SA"/>
              </w:rPr>
            </w:pPr>
            <w:r>
              <w:rPr>
                <w:rFonts w:hint="eastAsia" w:ascii="Times New Roman" w:eastAsia="仿宋_GB2312" w:cs="Times New Roman"/>
                <w:b/>
                <w:color w:val="auto"/>
                <w:kern w:val="2"/>
                <w:sz w:val="21"/>
                <w:szCs w:val="21"/>
                <w:lang w:val="en-US" w:eastAsia="zh-CN" w:bidi="ar-SA"/>
              </w:rPr>
              <w:t>0</w:t>
            </w:r>
          </w:p>
        </w:tc>
        <w:tc>
          <w:tcPr>
            <w:tcW w:w="895" w:type="dxa"/>
            <w:shd w:val="clear" w:color="auto" w:fill="auto"/>
            <w:tcMar>
              <w:left w:w="108" w:type="dxa"/>
              <w:right w:w="108" w:type="dxa"/>
            </w:tcMar>
            <w:vAlign w:val="center"/>
          </w:tcPr>
          <w:p w14:paraId="31A3C6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auto"/>
                <w:kern w:val="2"/>
                <w:sz w:val="21"/>
                <w:szCs w:val="21"/>
                <w:lang w:val="en-US" w:eastAsia="zh-CN" w:bidi="ar-SA"/>
              </w:rPr>
            </w:pPr>
            <w:r>
              <w:rPr>
                <w:rFonts w:hint="eastAsia" w:ascii="Times New Roman" w:eastAsia="仿宋_GB2312" w:cs="Times New Roman"/>
                <w:b/>
                <w:color w:val="auto"/>
                <w:kern w:val="2"/>
                <w:sz w:val="21"/>
                <w:szCs w:val="21"/>
                <w:lang w:val="en-US" w:eastAsia="zh-CN" w:bidi="ar-SA"/>
              </w:rPr>
              <w:t>0</w:t>
            </w:r>
          </w:p>
        </w:tc>
        <w:tc>
          <w:tcPr>
            <w:tcW w:w="724" w:type="dxa"/>
            <w:shd w:val="clear" w:color="auto" w:fill="auto"/>
            <w:tcMar>
              <w:left w:w="108" w:type="dxa"/>
              <w:right w:w="108" w:type="dxa"/>
            </w:tcMar>
            <w:vAlign w:val="center"/>
          </w:tcPr>
          <w:p w14:paraId="35981ED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auto"/>
                <w:kern w:val="2"/>
                <w:sz w:val="21"/>
                <w:szCs w:val="21"/>
                <w:lang w:val="en-US" w:eastAsia="zh-CN" w:bidi="ar-SA"/>
              </w:rPr>
            </w:pPr>
            <w:r>
              <w:rPr>
                <w:rFonts w:hint="eastAsia" w:ascii="Times New Roman" w:eastAsia="仿宋_GB2312" w:cs="Times New Roman"/>
                <w:b/>
                <w:color w:val="auto"/>
                <w:kern w:val="2"/>
                <w:sz w:val="21"/>
                <w:szCs w:val="21"/>
                <w:lang w:val="en-US" w:eastAsia="zh-CN" w:bidi="ar-SA"/>
              </w:rPr>
              <w:t>0</w:t>
            </w:r>
          </w:p>
        </w:tc>
        <w:tc>
          <w:tcPr>
            <w:tcW w:w="489" w:type="dxa"/>
            <w:shd w:val="clear" w:color="auto" w:fill="auto"/>
            <w:tcMar>
              <w:left w:w="108" w:type="dxa"/>
              <w:right w:w="108" w:type="dxa"/>
            </w:tcMar>
            <w:vAlign w:val="center"/>
          </w:tcPr>
          <w:p w14:paraId="513E67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auto"/>
                <w:kern w:val="2"/>
                <w:sz w:val="21"/>
                <w:szCs w:val="21"/>
                <w:lang w:val="en-US" w:eastAsia="zh-CN" w:bidi="ar-SA"/>
              </w:rPr>
            </w:pPr>
            <w:r>
              <w:rPr>
                <w:rFonts w:hint="eastAsia" w:ascii="Times New Roman" w:eastAsia="仿宋_GB2312" w:cs="Times New Roman"/>
                <w:b/>
                <w:color w:val="auto"/>
                <w:kern w:val="2"/>
                <w:sz w:val="21"/>
                <w:szCs w:val="21"/>
                <w:lang w:val="en-US" w:eastAsia="zh-CN" w:bidi="ar-SA"/>
              </w:rPr>
              <w:t>0</w:t>
            </w:r>
          </w:p>
        </w:tc>
        <w:tc>
          <w:tcPr>
            <w:tcW w:w="491" w:type="dxa"/>
            <w:shd w:val="clear" w:color="auto" w:fill="auto"/>
            <w:tcMar>
              <w:left w:w="108" w:type="dxa"/>
              <w:right w:w="108" w:type="dxa"/>
            </w:tcMar>
            <w:vAlign w:val="center"/>
          </w:tcPr>
          <w:p w14:paraId="5079EA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auto"/>
                <w:kern w:val="2"/>
                <w:sz w:val="21"/>
                <w:szCs w:val="21"/>
                <w:lang w:val="en-US" w:eastAsia="zh-CN" w:bidi="ar-SA"/>
              </w:rPr>
            </w:pPr>
            <w:r>
              <w:rPr>
                <w:rFonts w:hint="eastAsia" w:ascii="Times New Roman" w:eastAsia="仿宋_GB2312" w:cs="Times New Roman"/>
                <w:b/>
                <w:color w:val="auto"/>
                <w:kern w:val="2"/>
                <w:sz w:val="21"/>
                <w:szCs w:val="21"/>
                <w:lang w:val="en-US" w:eastAsia="zh-CN" w:bidi="ar-SA"/>
              </w:rPr>
              <w:t>1</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1731A5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四、结转下年度继续办理</w:t>
            </w:r>
          </w:p>
        </w:tc>
        <w:tc>
          <w:tcPr>
            <w:tcW w:w="752" w:type="dxa"/>
            <w:shd w:val="clear" w:color="auto" w:fill="auto"/>
            <w:tcMar>
              <w:left w:w="108" w:type="dxa"/>
              <w:right w:w="108" w:type="dxa"/>
            </w:tcMar>
            <w:vAlign w:val="center"/>
          </w:tcPr>
          <w:p w14:paraId="2E1C3E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7B1F033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3152C96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4F7774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51F2983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62DA0BB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26B0839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bl>
    <w:p w14:paraId="45920097">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4300C687">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717763C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tcBorders>
            <w:shd w:val="clear" w:color="auto" w:fill="FFFFFF"/>
            <w:vAlign w:val="center"/>
          </w:tcPr>
          <w:p w14:paraId="3B6689E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tcBorders>
            <w:shd w:val="clear" w:color="auto" w:fill="FFFFFF"/>
            <w:vAlign w:val="center"/>
          </w:tcPr>
          <w:p w14:paraId="19718F5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tcBorders>
            <w:shd w:val="clear" w:color="auto" w:fill="FFFFFF"/>
            <w:vAlign w:val="center"/>
          </w:tcPr>
          <w:p w14:paraId="0FF11E6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1287B69">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4DEE3D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283F0E29">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tcBorders>
            <w:shd w:val="clear" w:color="auto" w:fill="FFFFFF"/>
            <w:vAlign w:val="center"/>
          </w:tcPr>
          <w:p w14:paraId="689673B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3CE70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7A49F8F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14A68D9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tcBorders>
            <w:shd w:val="clear" w:color="auto" w:fill="FFFFFF"/>
            <w:textDirection w:val="tbRlV"/>
          </w:tcPr>
          <w:p w14:paraId="0FA551A1">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tcBorders>
            <w:shd w:val="clear" w:color="auto" w:fill="FFFFFF"/>
            <w:vAlign w:val="center"/>
          </w:tcPr>
          <w:p w14:paraId="1F1989D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87E52C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09AA38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093F23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686EBE1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0F4D19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39865D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bookmarkStart w:id="9" w:name="_GoBack" w:colFirst="0" w:colLast="14"/>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39F69AD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6CA373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3A7FFB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48" w:type="pct"/>
            <w:tcBorders>
              <w:top w:val="single" w:color="auto" w:sz="4" w:space="0"/>
              <w:left w:val="single" w:color="auto" w:sz="4" w:space="0"/>
              <w:bottom w:val="single" w:color="auto" w:sz="4" w:space="0"/>
            </w:tcBorders>
            <w:shd w:val="clear" w:color="auto" w:fill="FFFFFF"/>
            <w:vAlign w:val="center"/>
          </w:tcPr>
          <w:p w14:paraId="717CE3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5F2F1A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D710E3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ECF3C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30D2D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11DC0B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7EEAAEB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7C9506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D4D793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3F4DDF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bookmarkEnd w:id="9"/>
    </w:tbl>
    <w:p w14:paraId="518B3B7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3DA74F3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61A3F4F4">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针对2024年</w:t>
      </w:r>
      <w:r>
        <w:rPr>
          <w:rFonts w:hint="eastAsia" w:eastAsia="仿宋_GB2312" w:cs="Times New Roman"/>
          <w:color w:val="auto"/>
          <w:sz w:val="32"/>
          <w:szCs w:val="32"/>
          <w:lang w:val="en-US" w:eastAsia="zh-CN" w:bidi="ar-SA"/>
        </w:rPr>
        <w:t>部分公开信息时效性有待提高，更新发布存在滞后现象的问题，建立“日监测、周清理、月复核”机制，安排专人每日巡检更新，优化信息发布审批流程，提升发布效率，确保政务信息及时、准确呈现。</w:t>
      </w:r>
    </w:p>
    <w:p w14:paraId="7625FC2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50A66ABA">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textAlignment w:val="auto"/>
        <w:rPr>
          <w:rFonts w:hint="default" w:eastAsia="仿宋_GB2312" w:cs="Times New Roman"/>
          <w:color w:val="auto"/>
          <w:sz w:val="32"/>
          <w:szCs w:val="32"/>
          <w:lang w:val="en-US" w:eastAsia="zh-CN" w:bidi="ar-SA"/>
        </w:rPr>
      </w:pPr>
      <w:r>
        <w:rPr>
          <w:rFonts w:hint="eastAsia" w:eastAsia="仿宋_GB2312" w:cs="Times New Roman"/>
          <w:color w:val="auto"/>
          <w:sz w:val="32"/>
          <w:szCs w:val="32"/>
          <w:lang w:val="en-US" w:eastAsia="zh-CN" w:bidi="ar-SA"/>
        </w:rPr>
        <w:t>信息传播覆盖仍有盲区，信息发布后向偏远村居、老年群体等特定人群的有效抵达率不高。</w:t>
      </w:r>
    </w:p>
    <w:p w14:paraId="34C18A5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default" w:ascii="Times New Roman" w:hAnsi="Times New Roman" w:eastAsia="黑体" w:cs="Times New Roman"/>
          <w:color w:val="auto"/>
          <w:sz w:val="32"/>
          <w:szCs w:val="32"/>
          <w:lang w:val="en-US" w:eastAsia="zh-CN" w:bidi="ar-SA"/>
        </w:rPr>
        <w:t>（三）改进措施</w:t>
      </w:r>
      <w:r>
        <w:rPr>
          <w:rFonts w:hint="default" w:ascii="Times New Roman" w:hAnsi="Times New Roman" w:eastAsia="仿宋_GB2312" w:cs="Times New Roman"/>
          <w:b/>
          <w:bCs/>
          <w:color w:val="auto"/>
          <w:sz w:val="32"/>
          <w:szCs w:val="32"/>
          <w:lang w:eastAsia="zh-CN" w:bidi="ar-SA"/>
        </w:rPr>
        <w:t>　</w:t>
      </w:r>
    </w:p>
    <w:p w14:paraId="3ECDDFCD">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textAlignment w:val="auto"/>
        <w:rPr>
          <w:rFonts w:hint="default" w:eastAsia="仿宋_GB2312" w:cs="Times New Roman"/>
          <w:color w:val="auto"/>
          <w:sz w:val="32"/>
          <w:szCs w:val="32"/>
          <w:lang w:val="en-US" w:eastAsia="zh-CN" w:bidi="ar-SA"/>
        </w:rPr>
      </w:pPr>
      <w:r>
        <w:rPr>
          <w:rFonts w:hint="eastAsia" w:eastAsia="仿宋_GB2312" w:cs="Times New Roman"/>
          <w:color w:val="auto"/>
          <w:sz w:val="32"/>
          <w:szCs w:val="32"/>
          <w:lang w:val="en-US" w:eastAsia="zh-CN" w:bidi="ar-SA"/>
        </w:rPr>
        <w:t>依托村级广播、网格员上门等“土办法”，确保政务信息有效送达偏远村居和老年群体。</w:t>
      </w:r>
    </w:p>
    <w:p w14:paraId="57E0F9B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508BB5C4">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50216E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auto"/>
          <w:kern w:val="0"/>
          <w:sz w:val="32"/>
          <w:szCs w:val="32"/>
          <w:lang w:val="en-US" w:eastAsia="zh-CN" w:bidi="en-US"/>
        </w:rPr>
      </w:pPr>
      <w:r>
        <w:rPr>
          <w:rFonts w:hint="default" w:ascii="Times New Roman" w:hAnsi="Times New Roman" w:eastAsia="仿宋_GB2312" w:cs="Times New Roman"/>
          <w:color w:val="auto"/>
          <w:sz w:val="32"/>
          <w:szCs w:val="32"/>
          <w:lang w:val="en-US" w:eastAsia="zh-CN" w:bidi="ar-SA"/>
        </w:rPr>
        <w:t>本年度依申请公开政府信息未收取任何费用。</w:t>
      </w:r>
    </w:p>
    <w:p w14:paraId="35F1F67E">
      <w:pPr>
        <w:keepNext w:val="0"/>
        <w:keepLines w:val="0"/>
        <w:pageBreakBefore w:val="0"/>
        <w:numPr>
          <w:ilvl w:val="0"/>
          <w:numId w:val="1"/>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落实上级年度政务公开工作要点情况</w:t>
      </w:r>
    </w:p>
    <w:p w14:paraId="3FEE023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color w:val="auto"/>
          <w:sz w:val="32"/>
          <w:szCs w:val="32"/>
          <w:lang w:val="en-US" w:eastAsia="zh-CN" w:bidi="ar-SA"/>
        </w:rPr>
        <w:t>市中区税郭镇人民政府能及时按照上级政务公开工作要点要求落实各项工作。</w:t>
      </w:r>
    </w:p>
    <w:p w14:paraId="23595C9B">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人大代表建议和政协委员提案办理情况</w:t>
      </w:r>
    </w:p>
    <w:p w14:paraId="37AA164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仿宋_GB2312" w:cs="Times New Roman"/>
          <w:color w:val="auto"/>
          <w:sz w:val="32"/>
          <w:szCs w:val="32"/>
          <w:lang w:val="en-US" w:eastAsia="zh-CN" w:bidi="ar-SA"/>
        </w:rPr>
        <w:t>2025年，税郭镇始终将人大代表建议和政协委员提案办理工作摆在突出位置，将其作为密切联系群众、改进工作作风、推动乡镇发展的重要抓手。通过精心组织、强化责任、狠抓落实，办理工作取得了扎实成效，有力促进了政府决策科学化、民主化，提升了基层治理效能。全镇上下形成了高度重视、高效协同、高质办理的良好工作格局。</w:t>
      </w:r>
    </w:p>
    <w:p w14:paraId="47CA8B9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bidi="ar-SA"/>
        </w:rPr>
      </w:pPr>
      <w:r>
        <w:rPr>
          <w:rFonts w:hint="default" w:ascii="Times New Roman" w:hAnsi="Times New Roman" w:eastAsia="仿宋_GB2312" w:cs="Times New Roman"/>
          <w:color w:val="auto"/>
          <w:sz w:val="32"/>
          <w:szCs w:val="32"/>
          <w:lang w:val="en-US" w:eastAsia="zh-CN" w:bidi="ar-SA"/>
        </w:rPr>
        <w:t>2025年，税郭镇共收到人大代表建议6件、政协委员提案22件，共计28件。内容涵盖经济发展、基础设施建设、民生保障、生态环境保护等多个关键领域，集中反映了群众关切和发展需要。通过完善领导领办、部门承办、专人负责的责任体系，规范交办、承办、沟通、答复、反馈全流程管理，确保办理工作有序推进。坚持问题导向，将建议提案办理与全镇中心工作同部署、同落实，对乡村振兴、环境整治、公共服务等集中反映的问题开展专项调研，实施重点突破。通过专题座谈、联合走访、现场办公等形式深化与代表委员的全程沟通，积极推动合理建议转化为具体政策、项目安排或长效工作机制。所有建议提案</w:t>
      </w:r>
      <w:r>
        <w:rPr>
          <w:rFonts w:hint="eastAsia" w:eastAsia="仿宋_GB2312" w:cs="Times New Roman"/>
          <w:color w:val="auto"/>
          <w:sz w:val="32"/>
          <w:szCs w:val="32"/>
          <w:lang w:val="en-US" w:eastAsia="zh-CN" w:bidi="ar-SA"/>
        </w:rPr>
        <w:t>全部</w:t>
      </w:r>
      <w:r>
        <w:rPr>
          <w:rFonts w:hint="default" w:ascii="Times New Roman" w:hAnsi="Times New Roman" w:eastAsia="仿宋_GB2312" w:cs="Times New Roman"/>
          <w:color w:val="auto"/>
          <w:sz w:val="32"/>
          <w:szCs w:val="32"/>
          <w:lang w:val="en-US" w:eastAsia="zh-CN" w:bidi="ar-SA"/>
        </w:rPr>
        <w:t>按时办结，答复率达100%，推动解决了一批群众急难愁盼问题。</w:t>
      </w:r>
    </w:p>
    <w:p w14:paraId="76FE6F0F">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本行政机关年度政务公开工作创新情况</w:t>
      </w:r>
    </w:p>
    <w:p w14:paraId="3E0D5E6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2025年</w:t>
      </w:r>
      <w:r>
        <w:rPr>
          <w:rFonts w:hint="eastAsia" w:eastAsia="仿宋_GB2312" w:cs="Times New Roman"/>
          <w:color w:val="auto"/>
          <w:sz w:val="32"/>
          <w:szCs w:val="32"/>
          <w:lang w:val="en-US" w:eastAsia="zh-CN" w:bidi="ar-SA"/>
        </w:rPr>
        <w:t>，税郭镇以提升基层治理透明度与便民服务效能为核心，打造“实体+数字”融合专区，高标准建成镇政务公开专区，设置“政策二维码矩阵墙”，集成各级公报、政策及解读，实现惠民信息“一扫即查”，配备帮办引导员，为群众提供“一对一”协助服务，有效弥补数字鸿沟。创新开展“公开日”活动，组织职能部门现场答疑，推动政务公开从“能公开”向“优服务”转变。</w:t>
      </w:r>
    </w:p>
    <w:p w14:paraId="6A28255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32508AAC">
      <w:pPr>
        <w:keepNext w:val="0"/>
        <w:keepLines w:val="0"/>
        <w:pageBreakBefore w:val="0"/>
        <w:widowControl/>
        <w:kinsoku/>
        <w:wordWrap w:val="0"/>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eastAsia="仿宋_GB2312" w:cs="Times New Roman"/>
          <w:color w:val="auto"/>
          <w:sz w:val="32"/>
          <w:szCs w:val="32"/>
          <w:shd w:val="clear" w:color="auto" w:fill="FFFFFF"/>
          <w:lang w:val="en-US" w:eastAsia="zh-CN"/>
        </w:rPr>
        <w:t>税郭镇人民政府</w:t>
      </w:r>
      <w:r>
        <w:rPr>
          <w:rFonts w:hint="default" w:ascii="Times New Roman" w:hAnsi="Times New Roman" w:eastAsia="仿宋_GB2312" w:cs="Times New Roman"/>
          <w:color w:val="auto"/>
          <w:sz w:val="32"/>
          <w:szCs w:val="32"/>
          <w:shd w:val="clear" w:color="auto" w:fill="FFFFFF"/>
          <w:lang w:eastAsia="zh-CN"/>
        </w:rPr>
        <w:t>联系（地址:</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s="Times New Roman"/>
          <w:color w:val="auto"/>
          <w:sz w:val="32"/>
          <w:szCs w:val="32"/>
          <w:lang w:val="en-US" w:eastAsia="zh-CN"/>
        </w:rPr>
        <w:t>税郭镇驻地</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s="Times New Roman"/>
          <w:color w:val="auto"/>
          <w:sz w:val="32"/>
          <w:szCs w:val="32"/>
          <w:lang w:val="en-US" w:eastAsia="zh-CN"/>
        </w:rPr>
        <w:t>3511036</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Fonts w:hint="default" w:eastAsia="仿宋_GB2312"/>
          <w:color w:val="auto"/>
          <w:sz w:val="32"/>
          <w:szCs w:val="32"/>
          <w:shd w:val="clear" w:color="auto" w:fill="FFFFFF"/>
          <w:lang w:val="en-US" w:eastAsia="zh-CN"/>
        </w:rPr>
        <w:t>shuiguozhenadmin</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hint="default" w:ascii="Times New Roman" w:hAnsi="Times New Roman" w:eastAsia="仿宋_GB2312" w:cs="Times New Roman"/>
          <w:color w:val="auto"/>
          <w:sz w:val="32"/>
          <w:szCs w:val="32"/>
          <w:shd w:val="clear" w:color="auto" w:fill="FFFFFF"/>
          <w:lang w:eastAsia="zh-CN"/>
        </w:rPr>
        <w:t>） 。</w:t>
      </w:r>
    </w:p>
    <w:p w14:paraId="3B0E8B8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5E806E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E980032">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市中区</w:t>
      </w:r>
      <w:r>
        <w:rPr>
          <w:rFonts w:hint="eastAsia" w:ascii="Times New Roman" w:hAnsi="Times New Roman" w:eastAsia="仿宋_GB2312" w:cs="Times New Roman"/>
          <w:b w:val="0"/>
          <w:bCs w:val="0"/>
          <w:color w:val="auto"/>
          <w:sz w:val="32"/>
          <w:szCs w:val="32"/>
          <w:shd w:val="clear" w:color="auto" w:fill="FFFFFF"/>
          <w:lang w:val="en-US" w:eastAsia="zh-CN"/>
        </w:rPr>
        <w:t>税郭镇人民政府</w:t>
      </w:r>
    </w:p>
    <w:p w14:paraId="45B272C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202</w:t>
      </w:r>
      <w:r>
        <w:rPr>
          <w:rFonts w:hint="eastAsia" w:eastAsia="仿宋_GB2312" w:cs="Times New Roman"/>
          <w:b w:val="0"/>
          <w:bCs w:val="0"/>
          <w:color w:val="auto"/>
          <w:sz w:val="32"/>
          <w:szCs w:val="32"/>
          <w:shd w:val="clear" w:color="auto" w:fill="FFFFFF"/>
          <w:lang w:val="en-US" w:eastAsia="zh-CN"/>
        </w:rPr>
        <w:t>6</w:t>
      </w:r>
      <w:r>
        <w:rPr>
          <w:rFonts w:hint="default" w:ascii="Times New Roman" w:hAnsi="Times New Roman" w:eastAsia="仿宋_GB2312" w:cs="Times New Roman"/>
          <w:b w:val="0"/>
          <w:bCs w:val="0"/>
          <w:color w:val="auto"/>
          <w:sz w:val="32"/>
          <w:szCs w:val="32"/>
          <w:shd w:val="clear" w:color="auto" w:fill="FFFFFF"/>
          <w:lang w:val="en-US" w:eastAsia="zh-CN"/>
        </w:rPr>
        <w:t>年1月</w:t>
      </w:r>
      <w:r>
        <w:rPr>
          <w:rFonts w:hint="eastAsia" w:eastAsia="仿宋_GB2312" w:cs="Times New Roman"/>
          <w:b w:val="0"/>
          <w:bCs w:val="0"/>
          <w:color w:val="auto"/>
          <w:sz w:val="32"/>
          <w:szCs w:val="32"/>
          <w:shd w:val="clear" w:color="auto" w:fill="FFFFFF"/>
          <w:lang w:val="en-US" w:eastAsia="zh-CN"/>
        </w:rPr>
        <w:t>15</w:t>
      </w:r>
      <w:r>
        <w:rPr>
          <w:rFonts w:hint="default" w:ascii="Times New Roman" w:hAnsi="Times New Roman" w:eastAsia="仿宋_GB2312" w:cs="Times New Roman"/>
          <w:b w:val="0"/>
          <w:bCs w:val="0"/>
          <w:color w:val="auto"/>
          <w:sz w:val="32"/>
          <w:szCs w:val="32"/>
          <w:shd w:val="clear" w:color="auto" w:fill="FFFFFF"/>
          <w:lang w:val="en-US" w:eastAsia="zh-CN"/>
        </w:rPr>
        <w:t>日</w:t>
      </w:r>
      <w:r>
        <w:rPr>
          <w:rFonts w:hint="eastAsia" w:eastAsia="仿宋_GB2312" w:cs="Times New Roman"/>
          <w:b w:val="0"/>
          <w:bCs w:val="0"/>
          <w:color w:val="auto"/>
          <w:sz w:val="32"/>
          <w:szCs w:val="32"/>
          <w:shd w:val="clear" w:color="auto" w:fill="FFFFFF"/>
          <w:lang w:val="en-US" w:eastAsia="zh-CN"/>
        </w:rPr>
        <w:t xml:space="preserve"> </w:t>
      </w:r>
    </w:p>
    <w:p w14:paraId="6E7026B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2F666B-3817-4870-8D69-02C261CB4D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FB3C1CB-ADDC-460F-82EE-1E0D422B0DD1}"/>
  </w:font>
  <w:font w:name="仿宋_GB2312">
    <w:panose1 w:val="02010609030101010101"/>
    <w:charset w:val="86"/>
    <w:family w:val="modern"/>
    <w:pitch w:val="default"/>
    <w:sig w:usb0="00000001" w:usb1="080E0000" w:usb2="00000000" w:usb3="00000000" w:csb0="00040000" w:csb1="00000000"/>
    <w:embedRegular r:id="rId3" w:fontKey="{B29720E4-C7C5-4889-B74B-20BD6E9854F3}"/>
  </w:font>
  <w:font w:name="微软雅黑">
    <w:panose1 w:val="020B0503020204020204"/>
    <w:charset w:val="86"/>
    <w:family w:val="swiss"/>
    <w:pitch w:val="default"/>
    <w:sig w:usb0="80000287" w:usb1="2ACF3C50" w:usb2="00000016" w:usb3="00000000" w:csb0="0004001F" w:csb1="00000000"/>
    <w:embedRegular r:id="rId4" w:fontKey="{18C64018-D031-4E43-8D4D-E1B63DAC444D}"/>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D78C4"/>
    <w:multiLevelType w:val="singleLevel"/>
    <w:tmpl w:val="999D78C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77718"/>
    <w:rsid w:val="005A70FF"/>
    <w:rsid w:val="00B03096"/>
    <w:rsid w:val="00F0539A"/>
    <w:rsid w:val="021D046B"/>
    <w:rsid w:val="025E0CC2"/>
    <w:rsid w:val="08560D28"/>
    <w:rsid w:val="0A3E1141"/>
    <w:rsid w:val="0B8F2AB2"/>
    <w:rsid w:val="0D426B65"/>
    <w:rsid w:val="0DB7343A"/>
    <w:rsid w:val="101A475B"/>
    <w:rsid w:val="10FB77B6"/>
    <w:rsid w:val="1AAF71B2"/>
    <w:rsid w:val="1D276D79"/>
    <w:rsid w:val="1DC53412"/>
    <w:rsid w:val="1E6A5F5B"/>
    <w:rsid w:val="1FD24907"/>
    <w:rsid w:val="2007106B"/>
    <w:rsid w:val="20DD7AB8"/>
    <w:rsid w:val="227F4F5F"/>
    <w:rsid w:val="24B65C7B"/>
    <w:rsid w:val="271F6DB2"/>
    <w:rsid w:val="28BE4FD8"/>
    <w:rsid w:val="2A366FA5"/>
    <w:rsid w:val="2A6E4A40"/>
    <w:rsid w:val="2B247393"/>
    <w:rsid w:val="2B7E7F7A"/>
    <w:rsid w:val="329A7837"/>
    <w:rsid w:val="32DA54BB"/>
    <w:rsid w:val="34C27E73"/>
    <w:rsid w:val="372B44B7"/>
    <w:rsid w:val="37DD4F2A"/>
    <w:rsid w:val="39354F1D"/>
    <w:rsid w:val="3CA63654"/>
    <w:rsid w:val="424E6C95"/>
    <w:rsid w:val="425C413F"/>
    <w:rsid w:val="42962A0C"/>
    <w:rsid w:val="43677CBB"/>
    <w:rsid w:val="465A6BE7"/>
    <w:rsid w:val="4A263FB9"/>
    <w:rsid w:val="4BE16E0F"/>
    <w:rsid w:val="4C215AA9"/>
    <w:rsid w:val="4D010483"/>
    <w:rsid w:val="4F1B009D"/>
    <w:rsid w:val="56C82DAC"/>
    <w:rsid w:val="58444F1F"/>
    <w:rsid w:val="5A891C07"/>
    <w:rsid w:val="5AE6494C"/>
    <w:rsid w:val="5C606182"/>
    <w:rsid w:val="5EA95810"/>
    <w:rsid w:val="62A02DE5"/>
    <w:rsid w:val="62DF0CAC"/>
    <w:rsid w:val="64490C92"/>
    <w:rsid w:val="65B71AE3"/>
    <w:rsid w:val="6B5477F9"/>
    <w:rsid w:val="6EC52406"/>
    <w:rsid w:val="71294C7D"/>
    <w:rsid w:val="716632E1"/>
    <w:rsid w:val="71742F46"/>
    <w:rsid w:val="72BB477E"/>
    <w:rsid w:val="743334DA"/>
    <w:rsid w:val="754C48A1"/>
    <w:rsid w:val="75961B0E"/>
    <w:rsid w:val="79390A27"/>
    <w:rsid w:val="7D6654D7"/>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3057</Words>
  <Characters>3260</Characters>
  <Lines>53</Lines>
  <Paragraphs>15</Paragraphs>
  <TotalTime>198</TotalTime>
  <ScaleCrop>false</ScaleCrop>
  <LinksUpToDate>false</LinksUpToDate>
  <CharactersWithSpaces>3292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2026-01-19T08:07:37Z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