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76FE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方正小标宋简体" w:cs="Times New Roman"/>
          <w:b/>
          <w:bCs/>
          <w:color w:val="000000" w:themeColor="text1"/>
          <w:sz w:val="44"/>
          <w:szCs w:val="44"/>
          <w:lang w:val="en-US" w:eastAsia="zh-CN"/>
          <w14:textFill>
            <w14:solidFill>
              <w14:schemeClr w14:val="tx1"/>
            </w14:solidFill>
          </w14:textFill>
        </w:rPr>
      </w:pPr>
      <w:r>
        <w:rPr>
          <w:rFonts w:hint="eastAsia" w:eastAsia="方正小标宋简体" w:cs="Times New Roman"/>
          <w:b/>
          <w:bCs/>
          <w:color w:val="000000" w:themeColor="text1"/>
          <w:sz w:val="44"/>
          <w:szCs w:val="44"/>
          <w:lang w:val="en-US" w:eastAsia="zh-CN"/>
          <w14:textFill>
            <w14:solidFill>
              <w14:schemeClr w14:val="tx1"/>
            </w14:solidFill>
          </w14:textFill>
        </w:rPr>
        <w:t>市中区永安镇人民政府</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000000" w:themeColor="text1"/>
          <w:sz w:val="44"/>
          <w:szCs w:val="44"/>
          <w:lang w:eastAsia="zh-CN"/>
          <w14:textFill>
            <w14:solidFill>
              <w14:schemeClr w14:val="tx1"/>
            </w14:solidFill>
          </w14:textFill>
        </w:rPr>
      </w:pPr>
      <w:r>
        <w:rPr>
          <w:rFonts w:hint="default" w:ascii="Times New Roman" w:hAnsi="Times New Roman" w:eastAsia="方正小标宋简体" w:cs="Times New Roman"/>
          <w:b/>
          <w:bCs/>
          <w:color w:val="000000" w:themeColor="text1"/>
          <w:sz w:val="44"/>
          <w:szCs w:val="44"/>
          <w:lang w:eastAsia="zh-CN"/>
          <w14:textFill>
            <w14:solidFill>
              <w14:schemeClr w14:val="tx1"/>
            </w14:solidFill>
          </w14:textFill>
        </w:rPr>
        <w:t>202</w:t>
      </w:r>
      <w:r>
        <w:rPr>
          <w:rFonts w:hint="default" w:ascii="Times New Roman" w:hAnsi="Times New Roman" w:eastAsia="方正小标宋简体" w:cs="Times New Roman"/>
          <w:b/>
          <w:bCs/>
          <w:color w:val="000000" w:themeColor="text1"/>
          <w:sz w:val="44"/>
          <w:szCs w:val="44"/>
          <w:lang w:val="en-US" w:eastAsia="zh-CN"/>
          <w14:textFill>
            <w14:solidFill>
              <w14:schemeClr w14:val="tx1"/>
            </w14:solidFill>
          </w14:textFill>
        </w:rPr>
        <w:t>5</w:t>
      </w:r>
      <w:r>
        <w:rPr>
          <w:rFonts w:hint="default" w:ascii="Times New Roman" w:hAnsi="Times New Roman" w:eastAsia="方正小标宋简体" w:cs="Times New Roman"/>
          <w:b/>
          <w:bCs/>
          <w:color w:val="000000" w:themeColor="text1"/>
          <w:sz w:val="44"/>
          <w:szCs w:val="44"/>
          <w:lang w:eastAsia="zh-CN"/>
          <w14:textFill>
            <w14:solidFill>
              <w14:schemeClr w14:val="tx1"/>
            </w14:solidFill>
          </w14:textFill>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pPr>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21</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30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号）和省、</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市</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有关工作要求，编制本报告并向社会公开。本年度报告电子版可从</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市中区</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人民政府门户网站（</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http://www.zzszq.gov.cn/</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）查阅或下载。本报告所列数据的统计</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期</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限自202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年1月1日</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起</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至202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年12月31日</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止</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。如对本报告有疑问，可与</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永安镇人民政府</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联系（地址</w:t>
      </w:r>
      <w:r>
        <w:rPr>
          <w:rFonts w:hint="eastAsia"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枣庄市市中区</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汇泉路81</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号</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，邮编：</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277100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，电话：</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0632-</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3755803</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电子邮箱：</w:t>
      </w:r>
      <w:r>
        <w:rPr>
          <w:rFonts w:hint="eastAsia"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fldChar w:fldCharType="begin"/>
      </w:r>
      <w:r>
        <w:rPr>
          <w:rFonts w:hint="eastAsia"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instrText xml:space="preserve"> HYPERLINK "mailto:zzyongan@163.com" </w:instrText>
      </w:r>
      <w:r>
        <w:rPr>
          <w:rFonts w:hint="eastAsia"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fldChar w:fldCharType="separate"/>
      </w:r>
      <w:r>
        <w:rPr>
          <w:rStyle w:val="6"/>
          <w:rFonts w:hint="eastAsia"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zzyongan@163.com</w:t>
      </w:r>
      <w:r>
        <w:rPr>
          <w:rFonts w:hint="eastAsia"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lang w:val="en-US" w:eastAsia="zh-CN"/>
          <w14:textFill>
            <w14:solidFill>
              <w14:schemeClr w14:val="tx1"/>
            </w14:solidFill>
          </w14:textFill>
        </w:rPr>
        <w:t>一、</w:t>
      </w:r>
      <w:r>
        <w:rPr>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t>总体情况</w:t>
      </w:r>
    </w:p>
    <w:p w14:paraId="05F43AD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2025年，</w:t>
      </w:r>
      <w:r>
        <w:rPr>
          <w:rFonts w:hint="eastAsia" w:eastAsia="仿宋_GB2312" w:cs="Times New Roman"/>
          <w:bCs/>
          <w:color w:val="000000" w:themeColor="text1"/>
          <w:sz w:val="32"/>
          <w:szCs w:val="32"/>
          <w:lang w:val="en-US" w:eastAsia="zh-CN"/>
          <w14:textFill>
            <w14:solidFill>
              <w14:schemeClr w14:val="tx1"/>
            </w14:solidFill>
          </w14:textFill>
        </w:rPr>
        <w:t>永安镇</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认真贯彻落实《中华人民共和国政府信息公开条例》，着力健全完善信息公开工作体系，强化信息公开载体建设，结合我</w:t>
      </w:r>
      <w:r>
        <w:rPr>
          <w:rFonts w:hint="eastAsia" w:eastAsia="仿宋_GB2312" w:cs="Times New Roman"/>
          <w:bCs/>
          <w:color w:val="000000" w:themeColor="text1"/>
          <w:sz w:val="32"/>
          <w:szCs w:val="32"/>
          <w:lang w:val="en-US" w:eastAsia="zh-CN"/>
          <w14:textFill>
            <w14:solidFill>
              <w14:schemeClr w14:val="tx1"/>
            </w14:solidFill>
          </w14:textFill>
        </w:rPr>
        <w:t>镇</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工作实际，进一步健全组织机构，完善信息公开机制，强化各项工作措施，在扩大公众知情权、满足公众信息需求方面取得了积极成效。</w:t>
      </w:r>
    </w:p>
    <w:p w14:paraId="00D1C07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Cs/>
          <w:color w:val="000000" w:themeColor="text1"/>
          <w:sz w:val="32"/>
          <w:szCs w:val="32"/>
          <w:lang w:val="en-US" w:eastAsia="zh-CN"/>
          <w14:textFill>
            <w14:solidFill>
              <w14:schemeClr w14:val="tx1"/>
            </w14:solidFill>
          </w14:textFill>
        </w:rPr>
        <w:t>（一）</w:t>
      </w:r>
      <w:r>
        <w:rPr>
          <w:rFonts w:hint="default" w:ascii="Times New Roman" w:hAnsi="Times New Roman" w:eastAsia="黑体" w:cs="Times New Roman"/>
          <w:bCs/>
          <w:color w:val="000000" w:themeColor="text1"/>
          <w:sz w:val="32"/>
          <w:szCs w:val="32"/>
          <w:lang w:eastAsia="zh-CN"/>
          <w14:textFill>
            <w14:solidFill>
              <w14:schemeClr w14:val="tx1"/>
            </w14:solidFill>
          </w14:textFill>
        </w:rPr>
        <w:t>主动公开</w:t>
      </w:r>
    </w:p>
    <w:p w14:paraId="0A93CD60">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2025年，我</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镇</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主动公开信息</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84</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条，其中在区政府门户网站公开</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64</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条，利用微信、微博等形式公开</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15</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条，其他渠道公开</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w:t>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000000" w:themeColor="text1"/>
          <w:sz w:val="32"/>
          <w:szCs w:val="32"/>
          <w:lang w:eastAsia="zh-CN"/>
          <w14:textFill>
            <w14:solidFill>
              <w14:schemeClr w14:val="tx1"/>
            </w14:solidFill>
          </w14:textFill>
        </w:rPr>
      </w:pPr>
      <w:r>
        <w:rPr>
          <w:rFonts w:hint="default" w:ascii="Times New Roman" w:hAnsi="Times New Roman" w:eastAsia="黑体" w:cs="Times New Roman"/>
          <w:bCs/>
          <w:color w:val="000000" w:themeColor="text1"/>
          <w:sz w:val="32"/>
          <w:szCs w:val="32"/>
          <w:lang w:val="en-US" w:eastAsia="zh-CN"/>
          <w14:textFill>
            <w14:solidFill>
              <w14:schemeClr w14:val="tx1"/>
            </w14:solidFill>
          </w14:textFill>
        </w:rPr>
        <w:t>（二）</w:t>
      </w:r>
      <w:r>
        <w:rPr>
          <w:rFonts w:hint="default" w:ascii="Times New Roman" w:hAnsi="Times New Roman" w:eastAsia="黑体" w:cs="Times New Roman"/>
          <w:bCs/>
          <w:color w:val="000000" w:themeColor="text1"/>
          <w:sz w:val="32"/>
          <w:szCs w:val="32"/>
          <w:lang w:eastAsia="zh-CN"/>
          <w14:textFill>
            <w14:solidFill>
              <w14:schemeClr w14:val="tx1"/>
            </w14:solidFill>
          </w14:textFill>
        </w:rPr>
        <w:t>依申请公开</w:t>
      </w:r>
    </w:p>
    <w:p w14:paraId="1517C64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做好依申请公开工作，依法保障民众的知情权、参与权、表达权、监督权。202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年共受理政府信息公开申请</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涉及</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政务公开领域</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其中予以公开申请1件，部分公开0件，不予公开0件，无法提供0件，不予处理0件，均在法定期限内予以答复。</w:t>
      </w:r>
    </w:p>
    <w:p w14:paraId="70476A9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本年度依申请公开政府信息未收取任何费用。</w:t>
      </w:r>
    </w:p>
    <w:p w14:paraId="536D9AA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因政府信息公开被申请行政复议</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件，因公民、法人和其他组织认为行政机关政府信息公开工作具体行政行为侵犯其合法权益，提起行政诉讼</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w:t>
      </w:r>
    </w:p>
    <w:p w14:paraId="0BC172B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000000" w:themeColor="text1"/>
          <w:sz w:val="32"/>
          <w:szCs w:val="32"/>
          <w:lang w:eastAsia="zh-CN"/>
          <w14:textFill>
            <w14:solidFill>
              <w14:schemeClr w14:val="tx1"/>
            </w14:solidFill>
          </w14:textFill>
        </w:rPr>
      </w:pPr>
      <w:r>
        <w:rPr>
          <w:rFonts w:hint="default" w:ascii="Times New Roman" w:hAnsi="Times New Roman" w:eastAsia="黑体" w:cs="Times New Roman"/>
          <w:bCs/>
          <w:color w:val="000000" w:themeColor="text1"/>
          <w:sz w:val="32"/>
          <w:szCs w:val="32"/>
          <w:lang w:val="en-US" w:eastAsia="zh-CN"/>
          <w14:textFill>
            <w14:solidFill>
              <w14:schemeClr w14:val="tx1"/>
            </w14:solidFill>
          </w14:textFill>
        </w:rPr>
        <w:t>（三）</w:t>
      </w:r>
      <w:r>
        <w:rPr>
          <w:rFonts w:hint="default" w:ascii="Times New Roman" w:hAnsi="Times New Roman" w:eastAsia="黑体" w:cs="Times New Roman"/>
          <w:bCs/>
          <w:color w:val="000000" w:themeColor="text1"/>
          <w:sz w:val="32"/>
          <w:szCs w:val="32"/>
          <w:lang w:eastAsia="zh-CN"/>
          <w14:textFill>
            <w14:solidFill>
              <w14:schemeClr w14:val="tx1"/>
            </w14:solidFill>
          </w14:textFill>
        </w:rPr>
        <w:t>政府信息管理</w:t>
      </w:r>
    </w:p>
    <w:p w14:paraId="72B49F6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09A512C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6ADDF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41FEAE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000000" w:themeColor="text1"/>
          <w:sz w:val="32"/>
          <w:szCs w:val="32"/>
          <w:lang w:eastAsia="zh-CN"/>
          <w14:textFill>
            <w14:solidFill>
              <w14:schemeClr w14:val="tx1"/>
            </w14:solidFill>
          </w14:textFill>
        </w:rPr>
      </w:pPr>
      <w:r>
        <w:rPr>
          <w:rFonts w:hint="default" w:ascii="Times New Roman" w:hAnsi="Times New Roman" w:eastAsia="黑体" w:cs="Times New Roman"/>
          <w:bCs/>
          <w:color w:val="000000" w:themeColor="text1"/>
          <w:sz w:val="32"/>
          <w:szCs w:val="32"/>
          <w:lang w:val="en-US" w:eastAsia="zh-CN"/>
          <w14:textFill>
            <w14:solidFill>
              <w14:schemeClr w14:val="tx1"/>
            </w14:solidFill>
          </w14:textFill>
        </w:rPr>
        <w:t>（四）政府信息公开</w:t>
      </w:r>
      <w:r>
        <w:rPr>
          <w:rFonts w:hint="default" w:ascii="Times New Roman" w:hAnsi="Times New Roman" w:eastAsia="黑体" w:cs="Times New Roman"/>
          <w:bCs/>
          <w:color w:val="000000" w:themeColor="text1"/>
          <w:sz w:val="32"/>
          <w:szCs w:val="32"/>
          <w:lang w:eastAsia="zh-CN"/>
          <w14:textFill>
            <w14:solidFill>
              <w14:schemeClr w14:val="tx1"/>
            </w14:solidFill>
          </w14:textFill>
        </w:rPr>
        <w:t>平台建设</w:t>
      </w:r>
    </w:p>
    <w:p w14:paraId="434AF2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依托“</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枣庄市市中区人民政府</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网站”“</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政府信息公开专栏</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”等平台发布信息，推动政务公开信息向不同群体精准推送，提升群众获取政府信息的便利度和幸福感。</w:t>
      </w:r>
    </w:p>
    <w:p w14:paraId="2CA3D9A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000000" w:themeColor="text1"/>
          <w:sz w:val="32"/>
          <w:szCs w:val="32"/>
          <w:lang w:eastAsia="zh-CN" w:bidi="ar-SA"/>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bidi="ar-SA"/>
          <w14:textFill>
            <w14:solidFill>
              <w14:schemeClr w14:val="tx1"/>
            </w14:solidFill>
          </w14:textFill>
        </w:rPr>
        <w:t>（五）</w:t>
      </w:r>
      <w:r>
        <w:rPr>
          <w:rFonts w:hint="default" w:ascii="Times New Roman" w:hAnsi="Times New Roman" w:eastAsia="黑体" w:cs="Times New Roman"/>
          <w:color w:val="000000" w:themeColor="text1"/>
          <w:sz w:val="32"/>
          <w:szCs w:val="32"/>
          <w:lang w:eastAsia="zh-CN" w:bidi="ar-SA"/>
          <w14:textFill>
            <w14:solidFill>
              <w14:schemeClr w14:val="tx1"/>
            </w14:solidFill>
          </w14:textFill>
        </w:rPr>
        <w:t>监督保障</w:t>
      </w:r>
    </w:p>
    <w:p w14:paraId="7234FCE3">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根据领导调整情况，及时修改政务公开领导小组成员名单，安排专员负责政务公开工作。</w:t>
      </w:r>
    </w:p>
    <w:p w14:paraId="6B437EDB">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lang w:val="en-US" w:eastAsia="zh-CN"/>
          <w14:textFill>
            <w14:solidFill>
              <w14:schemeClr w14:val="tx1"/>
            </w14:solidFill>
          </w14:textFill>
        </w:rPr>
        <w:t>二、</w:t>
      </w:r>
      <w:r>
        <w:rPr>
          <w:rFonts w:hint="default" w:ascii="Times New Roman" w:hAnsi="Times New Roman" w:eastAsia="黑体" w:cs="Times New Roman"/>
          <w:bCs/>
          <w:color w:val="000000" w:themeColor="text1"/>
          <w:sz w:val="32"/>
          <w:szCs w:val="32"/>
          <w14:textFill>
            <w14:solidFill>
              <w14:schemeClr w14:val="tx1"/>
            </w14:solidFill>
          </w14:textFill>
        </w:rPr>
        <w:t>主动公开政府信息情况</w:t>
      </w:r>
    </w:p>
    <w:tbl>
      <w:tblPr>
        <w:tblStyle w:val="4"/>
        <w:tblW w:w="8660" w:type="dxa"/>
        <w:tblInd w:w="0" w:type="dxa"/>
        <w:tblLayout w:type="fixed"/>
        <w:tblCellMar>
          <w:top w:w="0" w:type="dxa"/>
          <w:left w:w="108" w:type="dxa"/>
          <w:bottom w:w="0" w:type="dxa"/>
          <w:right w:w="108" w:type="dxa"/>
        </w:tblCellMar>
      </w:tblPr>
      <w:tblGrid>
        <w:gridCol w:w="2165"/>
        <w:gridCol w:w="2165"/>
        <w:gridCol w:w="2165"/>
        <w:gridCol w:w="2165"/>
      </w:tblGrid>
      <w:tr w14:paraId="66A664CA">
        <w:tblPrEx>
          <w:tblCellMar>
            <w:top w:w="0" w:type="dxa"/>
            <w:left w:w="108" w:type="dxa"/>
            <w:bottom w:w="0" w:type="dxa"/>
            <w:right w:w="108" w:type="dxa"/>
          </w:tblCellMar>
        </w:tblPrEx>
        <w:trPr>
          <w:trHeight w:val="544" w:hRule="atLeast"/>
        </w:trPr>
        <w:tc>
          <w:tcPr>
            <w:tcW w:w="86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第二十条第（一）项</w:t>
            </w:r>
          </w:p>
        </w:tc>
      </w:tr>
      <w:tr w14:paraId="0661CA2D">
        <w:tblPrEx>
          <w:tblCellMar>
            <w:top w:w="0" w:type="dxa"/>
            <w:left w:w="108" w:type="dxa"/>
            <w:bottom w:w="0" w:type="dxa"/>
            <w:right w:w="108" w:type="dxa"/>
          </w:tblCellMar>
        </w:tblPrEx>
        <w:trPr>
          <w:trHeight w:val="544" w:hRule="atLeast"/>
        </w:trPr>
        <w:tc>
          <w:tcPr>
            <w:tcW w:w="2165"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信息内容</w:t>
            </w:r>
          </w:p>
        </w:tc>
        <w:tc>
          <w:tcPr>
            <w:tcW w:w="2165"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本年制发件数</w:t>
            </w:r>
          </w:p>
        </w:tc>
        <w:tc>
          <w:tcPr>
            <w:tcW w:w="2165"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本年废止件数</w:t>
            </w:r>
          </w:p>
        </w:tc>
        <w:tc>
          <w:tcPr>
            <w:tcW w:w="2165"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现行有效件数</w:t>
            </w:r>
          </w:p>
        </w:tc>
      </w:tr>
      <w:tr w14:paraId="75F42ED4">
        <w:tblPrEx>
          <w:tblCellMar>
            <w:top w:w="0" w:type="dxa"/>
            <w:left w:w="108" w:type="dxa"/>
            <w:bottom w:w="0" w:type="dxa"/>
            <w:right w:w="108" w:type="dxa"/>
          </w:tblCellMar>
        </w:tblPrEx>
        <w:trPr>
          <w:trHeight w:val="544" w:hRule="atLeast"/>
        </w:trPr>
        <w:tc>
          <w:tcPr>
            <w:tcW w:w="2165"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规章</w:t>
            </w:r>
          </w:p>
        </w:tc>
        <w:tc>
          <w:tcPr>
            <w:tcW w:w="2165"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　　</w:t>
            </w:r>
            <w:r>
              <w:rPr>
                <w:rFonts w:hint="eastAsia" w:eastAsia="仿宋_GB2312" w:cs="Times New Roman"/>
                <w:color w:val="000000" w:themeColor="text1"/>
                <w:kern w:val="0"/>
                <w:szCs w:val="21"/>
                <w:lang w:val="en-US" w:eastAsia="zh-CN"/>
                <w14:textFill>
                  <w14:solidFill>
                    <w14:schemeClr w14:val="tx1"/>
                  </w14:solidFill>
                </w14:textFill>
              </w:rPr>
              <w:t>0</w:t>
            </w:r>
          </w:p>
        </w:tc>
        <w:tc>
          <w:tcPr>
            <w:tcW w:w="2165"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 　</w:t>
            </w:r>
            <w:r>
              <w:rPr>
                <w:rFonts w:hint="eastAsia" w:eastAsia="仿宋_GB2312" w:cs="Times New Roman"/>
                <w:color w:val="000000" w:themeColor="text1"/>
                <w:kern w:val="0"/>
                <w:szCs w:val="21"/>
                <w:lang w:val="en-US" w:eastAsia="zh-CN"/>
                <w14:textFill>
                  <w14:solidFill>
                    <w14:schemeClr w14:val="tx1"/>
                  </w14:solidFill>
                </w14:textFill>
              </w:rPr>
              <w:t>0</w:t>
            </w:r>
          </w:p>
        </w:tc>
        <w:tc>
          <w:tcPr>
            <w:tcW w:w="2165"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　</w:t>
            </w:r>
            <w:r>
              <w:rPr>
                <w:rFonts w:hint="eastAsia" w:eastAsia="仿宋_GB2312" w:cs="Times New Roman"/>
                <w:color w:val="000000" w:themeColor="text1"/>
                <w:kern w:val="0"/>
                <w:szCs w:val="21"/>
                <w:lang w:val="en-US" w:eastAsia="zh-CN"/>
                <w14:textFill>
                  <w14:solidFill>
                    <w14:schemeClr w14:val="tx1"/>
                  </w14:solidFill>
                </w14:textFill>
              </w:rPr>
              <w:t>0</w:t>
            </w:r>
          </w:p>
        </w:tc>
      </w:tr>
      <w:tr w14:paraId="3446AFB7">
        <w:tblPrEx>
          <w:tblCellMar>
            <w:top w:w="0" w:type="dxa"/>
            <w:left w:w="108" w:type="dxa"/>
            <w:bottom w:w="0" w:type="dxa"/>
            <w:right w:w="108" w:type="dxa"/>
          </w:tblCellMar>
        </w:tblPrEx>
        <w:trPr>
          <w:trHeight w:val="544" w:hRule="atLeast"/>
        </w:trPr>
        <w:tc>
          <w:tcPr>
            <w:tcW w:w="2165"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行政规范性文件</w:t>
            </w:r>
          </w:p>
        </w:tc>
        <w:tc>
          <w:tcPr>
            <w:tcW w:w="2165"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　　</w:t>
            </w:r>
            <w:r>
              <w:rPr>
                <w:rFonts w:hint="eastAsia" w:eastAsia="仿宋_GB2312" w:cs="Times New Roman"/>
                <w:color w:val="000000" w:themeColor="text1"/>
                <w:kern w:val="0"/>
                <w:szCs w:val="21"/>
                <w:lang w:val="en-US" w:eastAsia="zh-CN"/>
                <w14:textFill>
                  <w14:solidFill>
                    <w14:schemeClr w14:val="tx1"/>
                  </w14:solidFill>
                </w14:textFill>
              </w:rPr>
              <w:t>0</w:t>
            </w:r>
          </w:p>
        </w:tc>
        <w:tc>
          <w:tcPr>
            <w:tcW w:w="2165"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 　</w:t>
            </w:r>
            <w:r>
              <w:rPr>
                <w:rFonts w:hint="eastAsia" w:eastAsia="仿宋_GB2312" w:cs="Times New Roman"/>
                <w:color w:val="000000" w:themeColor="text1"/>
                <w:kern w:val="0"/>
                <w:szCs w:val="21"/>
                <w:lang w:val="en-US" w:eastAsia="zh-CN"/>
                <w14:textFill>
                  <w14:solidFill>
                    <w14:schemeClr w14:val="tx1"/>
                  </w14:solidFill>
                </w14:textFill>
              </w:rPr>
              <w:t>0</w:t>
            </w:r>
          </w:p>
        </w:tc>
        <w:tc>
          <w:tcPr>
            <w:tcW w:w="2165"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　</w:t>
            </w:r>
            <w:r>
              <w:rPr>
                <w:rFonts w:hint="eastAsia" w:eastAsia="仿宋_GB2312" w:cs="Times New Roman"/>
                <w:color w:val="000000" w:themeColor="text1"/>
                <w:kern w:val="0"/>
                <w:szCs w:val="21"/>
                <w:lang w:val="en-US" w:eastAsia="zh-CN"/>
                <w14:textFill>
                  <w14:solidFill>
                    <w14:schemeClr w14:val="tx1"/>
                  </w14:solidFill>
                </w14:textFill>
              </w:rPr>
              <w:t>0</w:t>
            </w:r>
          </w:p>
        </w:tc>
      </w:tr>
      <w:tr w14:paraId="464FAF65">
        <w:tblPrEx>
          <w:tblCellMar>
            <w:top w:w="0" w:type="dxa"/>
            <w:left w:w="108" w:type="dxa"/>
            <w:bottom w:w="0" w:type="dxa"/>
            <w:right w:w="108" w:type="dxa"/>
          </w:tblCellMar>
        </w:tblPrEx>
        <w:trPr>
          <w:trHeight w:val="544" w:hRule="atLeast"/>
        </w:trPr>
        <w:tc>
          <w:tcPr>
            <w:tcW w:w="86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第二十条第（五）项</w:t>
            </w:r>
          </w:p>
        </w:tc>
      </w:tr>
      <w:tr w14:paraId="51CD5B32">
        <w:tblPrEx>
          <w:tblCellMar>
            <w:top w:w="0" w:type="dxa"/>
            <w:left w:w="108" w:type="dxa"/>
            <w:bottom w:w="0" w:type="dxa"/>
            <w:right w:w="108" w:type="dxa"/>
          </w:tblCellMar>
        </w:tblPrEx>
        <w:trPr>
          <w:trHeight w:val="544" w:hRule="atLeast"/>
        </w:trPr>
        <w:tc>
          <w:tcPr>
            <w:tcW w:w="2165"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信息内容</w:t>
            </w:r>
          </w:p>
        </w:tc>
        <w:tc>
          <w:tcPr>
            <w:tcW w:w="6495"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本年处理决定数量</w:t>
            </w:r>
          </w:p>
        </w:tc>
      </w:tr>
      <w:tr w14:paraId="70DDBB55">
        <w:tblPrEx>
          <w:tblCellMar>
            <w:top w:w="0" w:type="dxa"/>
            <w:left w:w="108" w:type="dxa"/>
            <w:bottom w:w="0" w:type="dxa"/>
            <w:right w:w="108" w:type="dxa"/>
          </w:tblCellMar>
        </w:tblPrEx>
        <w:trPr>
          <w:trHeight w:val="544" w:hRule="atLeast"/>
        </w:trPr>
        <w:tc>
          <w:tcPr>
            <w:tcW w:w="2165"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行政许可</w:t>
            </w:r>
          </w:p>
        </w:tc>
        <w:tc>
          <w:tcPr>
            <w:tcW w:w="6495"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　</w:t>
            </w:r>
            <w:r>
              <w:rPr>
                <w:rFonts w:hint="eastAsia" w:eastAsia="仿宋_GB2312" w:cs="Times New Roman"/>
                <w:color w:val="000000" w:themeColor="text1"/>
                <w:kern w:val="0"/>
                <w:szCs w:val="21"/>
                <w:lang w:val="en-US" w:eastAsia="zh-CN"/>
                <w14:textFill>
                  <w14:solidFill>
                    <w14:schemeClr w14:val="tx1"/>
                  </w14:solidFill>
                </w14:textFill>
              </w:rPr>
              <w:t>0</w:t>
            </w:r>
          </w:p>
        </w:tc>
      </w:tr>
      <w:tr w14:paraId="48DB7C4A">
        <w:tblPrEx>
          <w:tblCellMar>
            <w:top w:w="0" w:type="dxa"/>
            <w:left w:w="108" w:type="dxa"/>
            <w:bottom w:w="0" w:type="dxa"/>
            <w:right w:w="108" w:type="dxa"/>
          </w:tblCellMar>
        </w:tblPrEx>
        <w:trPr>
          <w:trHeight w:val="544" w:hRule="atLeast"/>
        </w:trPr>
        <w:tc>
          <w:tcPr>
            <w:tcW w:w="86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第二十条第（六）项</w:t>
            </w:r>
          </w:p>
        </w:tc>
      </w:tr>
      <w:tr w14:paraId="0C9B34D1">
        <w:tblPrEx>
          <w:tblCellMar>
            <w:top w:w="0" w:type="dxa"/>
            <w:left w:w="108" w:type="dxa"/>
            <w:bottom w:w="0" w:type="dxa"/>
            <w:right w:w="108" w:type="dxa"/>
          </w:tblCellMar>
        </w:tblPrEx>
        <w:trPr>
          <w:trHeight w:val="544" w:hRule="atLeast"/>
        </w:trPr>
        <w:tc>
          <w:tcPr>
            <w:tcW w:w="2165"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信息内容</w:t>
            </w:r>
          </w:p>
        </w:tc>
        <w:tc>
          <w:tcPr>
            <w:tcW w:w="6495"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本年处理决定数量</w:t>
            </w:r>
          </w:p>
        </w:tc>
      </w:tr>
      <w:tr w14:paraId="51B7A512">
        <w:tblPrEx>
          <w:tblCellMar>
            <w:top w:w="0" w:type="dxa"/>
            <w:left w:w="108" w:type="dxa"/>
            <w:bottom w:w="0" w:type="dxa"/>
            <w:right w:w="108" w:type="dxa"/>
          </w:tblCellMar>
        </w:tblPrEx>
        <w:trPr>
          <w:trHeight w:val="544" w:hRule="atLeast"/>
        </w:trPr>
        <w:tc>
          <w:tcPr>
            <w:tcW w:w="2165"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行政处罚</w:t>
            </w:r>
          </w:p>
        </w:tc>
        <w:tc>
          <w:tcPr>
            <w:tcW w:w="6495"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　</w:t>
            </w:r>
            <w:r>
              <w:rPr>
                <w:rFonts w:hint="eastAsia" w:eastAsia="仿宋_GB2312" w:cs="Times New Roman"/>
                <w:color w:val="000000" w:themeColor="text1"/>
                <w:kern w:val="0"/>
                <w:szCs w:val="21"/>
                <w:lang w:val="en-US" w:eastAsia="zh-CN"/>
                <w14:textFill>
                  <w14:solidFill>
                    <w14:schemeClr w14:val="tx1"/>
                  </w14:solidFill>
                </w14:textFill>
              </w:rPr>
              <w:t>0</w:t>
            </w:r>
          </w:p>
        </w:tc>
      </w:tr>
      <w:tr w14:paraId="175EA520">
        <w:tblPrEx>
          <w:tblCellMar>
            <w:top w:w="0" w:type="dxa"/>
            <w:left w:w="108" w:type="dxa"/>
            <w:bottom w:w="0" w:type="dxa"/>
            <w:right w:w="108" w:type="dxa"/>
          </w:tblCellMar>
        </w:tblPrEx>
        <w:trPr>
          <w:trHeight w:val="544" w:hRule="atLeast"/>
        </w:trPr>
        <w:tc>
          <w:tcPr>
            <w:tcW w:w="2165"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行政强制</w:t>
            </w:r>
          </w:p>
        </w:tc>
        <w:tc>
          <w:tcPr>
            <w:tcW w:w="6495"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　</w:t>
            </w:r>
            <w:r>
              <w:rPr>
                <w:rFonts w:hint="eastAsia" w:eastAsia="仿宋_GB2312" w:cs="Times New Roman"/>
                <w:color w:val="000000" w:themeColor="text1"/>
                <w:kern w:val="0"/>
                <w:szCs w:val="21"/>
                <w:lang w:val="en-US" w:eastAsia="zh-CN"/>
                <w14:textFill>
                  <w14:solidFill>
                    <w14:schemeClr w14:val="tx1"/>
                  </w14:solidFill>
                </w14:textFill>
              </w:rPr>
              <w:t>0</w:t>
            </w:r>
          </w:p>
        </w:tc>
      </w:tr>
      <w:tr w14:paraId="7EC200E6">
        <w:tblPrEx>
          <w:tblCellMar>
            <w:top w:w="0" w:type="dxa"/>
            <w:left w:w="108" w:type="dxa"/>
            <w:bottom w:w="0" w:type="dxa"/>
            <w:right w:w="108" w:type="dxa"/>
          </w:tblCellMar>
        </w:tblPrEx>
        <w:trPr>
          <w:trHeight w:val="544" w:hRule="atLeast"/>
        </w:trPr>
        <w:tc>
          <w:tcPr>
            <w:tcW w:w="86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第二十条第（八）项</w:t>
            </w:r>
          </w:p>
        </w:tc>
      </w:tr>
      <w:tr w14:paraId="54A5CEE5">
        <w:tblPrEx>
          <w:tblCellMar>
            <w:top w:w="0" w:type="dxa"/>
            <w:left w:w="108" w:type="dxa"/>
            <w:bottom w:w="0" w:type="dxa"/>
            <w:right w:w="108" w:type="dxa"/>
          </w:tblCellMar>
        </w:tblPrEx>
        <w:trPr>
          <w:trHeight w:val="544" w:hRule="atLeast"/>
        </w:trPr>
        <w:tc>
          <w:tcPr>
            <w:tcW w:w="2165"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信息内容</w:t>
            </w:r>
          </w:p>
        </w:tc>
        <w:tc>
          <w:tcPr>
            <w:tcW w:w="6495"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本年收费金额（单位：万元）</w:t>
            </w:r>
          </w:p>
        </w:tc>
      </w:tr>
      <w:tr w14:paraId="4570D4AB">
        <w:tblPrEx>
          <w:tblCellMar>
            <w:top w:w="0" w:type="dxa"/>
            <w:left w:w="108" w:type="dxa"/>
            <w:bottom w:w="0" w:type="dxa"/>
            <w:right w:w="108" w:type="dxa"/>
          </w:tblCellMar>
        </w:tblPrEx>
        <w:trPr>
          <w:trHeight w:val="562" w:hRule="atLeast"/>
        </w:trPr>
        <w:tc>
          <w:tcPr>
            <w:tcW w:w="2165"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行政事业性收费</w:t>
            </w:r>
          </w:p>
        </w:tc>
        <w:tc>
          <w:tcPr>
            <w:tcW w:w="6495"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　</w:t>
            </w:r>
            <w:r>
              <w:rPr>
                <w:rFonts w:hint="eastAsia" w:eastAsia="仿宋_GB2312" w:cs="Times New Roman"/>
                <w:color w:val="000000" w:themeColor="text1"/>
                <w:kern w:val="0"/>
                <w:szCs w:val="21"/>
                <w:lang w:val="en-US" w:eastAsia="zh-CN"/>
                <w14:textFill>
                  <w14:solidFill>
                    <w14:schemeClr w14:val="tx1"/>
                  </w14:solidFill>
                </w14:textFill>
              </w:rPr>
              <w:t>0</w:t>
            </w:r>
          </w:p>
        </w:tc>
      </w:tr>
    </w:tbl>
    <w:p w14:paraId="4E6A2AF6">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000000" w:themeColor="text1"/>
          <w:sz w:val="32"/>
          <w:szCs w:val="32"/>
          <w:lang w:eastAsia="zh-CN"/>
          <w14:textFill>
            <w14:solidFill>
              <w14:schemeClr w14:val="tx1"/>
            </w14:solidFill>
          </w14:textFill>
        </w:rPr>
      </w:pPr>
    </w:p>
    <w:p w14:paraId="732BF267">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lang w:val="en-US" w:eastAsia="zh-CN"/>
          <w14:textFill>
            <w14:solidFill>
              <w14:schemeClr w14:val="tx1"/>
            </w14:solidFill>
          </w14:textFill>
        </w:rPr>
        <w:t>三、</w:t>
      </w:r>
      <w:r>
        <w:rPr>
          <w:rFonts w:hint="default" w:ascii="Times New Roman" w:hAnsi="Times New Roman" w:eastAsia="黑体" w:cs="Times New Roman"/>
          <w:bCs/>
          <w:color w:val="000000" w:themeColor="text1"/>
          <w:sz w:val="32"/>
          <w:szCs w:val="32"/>
          <w14:textFill>
            <w14:solidFill>
              <w14:schemeClr w14:val="tx1"/>
            </w14:solidFill>
          </w14:textFill>
        </w:rPr>
        <w:t>收到和处理政府信息公开申请情况</w:t>
      </w:r>
    </w:p>
    <w:tbl>
      <w:tblPr>
        <w:tblStyle w:val="4"/>
        <w:tblW w:w="892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18"/>
        <w:gridCol w:w="1064"/>
        <w:gridCol w:w="2355"/>
        <w:gridCol w:w="543"/>
        <w:gridCol w:w="699"/>
        <w:gridCol w:w="699"/>
        <w:gridCol w:w="877"/>
        <w:gridCol w:w="701"/>
        <w:gridCol w:w="484"/>
        <w:gridCol w:w="486"/>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restart"/>
            <w:shd w:val="clear" w:color="auto" w:fill="auto"/>
            <w:tcMar>
              <w:left w:w="108" w:type="dxa"/>
              <w:right w:w="108" w:type="dxa"/>
            </w:tcMar>
            <w:vAlign w:val="center"/>
          </w:tcPr>
          <w:p w14:paraId="5F41AE2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color w:val="000000" w:themeColor="text1"/>
                <w:kern w:val="0"/>
                <w:sz w:val="21"/>
                <w:szCs w:val="21"/>
                <w:lang w:eastAsia="zh-CN" w:bidi="ar-SA"/>
                <w14:textFill>
                  <w14:solidFill>
                    <w14:schemeClr w14:val="tx1"/>
                  </w14:solidFill>
                </w14:textFill>
              </w:rPr>
              <w:t>（本列数据的勾稽关系为：第一项加第二项之和，等于第三项加第四项之和）</w:t>
            </w:r>
          </w:p>
        </w:tc>
        <w:tc>
          <w:tcPr>
            <w:tcW w:w="486" w:type="dxa"/>
            <w:gridSpan w:val="7"/>
            <w:shd w:val="clear" w:color="auto" w:fill="auto"/>
            <w:tcMar>
              <w:left w:w="108" w:type="dxa"/>
              <w:right w:w="108" w:type="dxa"/>
            </w:tcMar>
            <w:vAlign w:val="center"/>
          </w:tcPr>
          <w:p w14:paraId="2D94F94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color w:val="000000" w:themeColor="text1"/>
                <w:kern w:val="0"/>
                <w:sz w:val="21"/>
                <w:szCs w:val="21"/>
                <w:lang w:eastAsia="zh-CN" w:bidi="ar-SA"/>
                <w14:textFill>
                  <w14:solidFill>
                    <w14:schemeClr w14:val="tx1"/>
                  </w14:solidFill>
                </w14:textFill>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continue"/>
            <w:shd w:val="clear" w:color="auto" w:fill="auto"/>
            <w:tcMar>
              <w:left w:w="108" w:type="dxa"/>
              <w:right w:w="108" w:type="dxa"/>
            </w:tcMar>
            <w:vAlign w:val="center"/>
          </w:tcPr>
          <w:p w14:paraId="31BBF00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p>
        </w:tc>
        <w:tc>
          <w:tcPr>
            <w:tcW w:w="543" w:type="dxa"/>
            <w:vMerge w:val="restart"/>
            <w:shd w:val="clear" w:color="auto" w:fill="auto"/>
            <w:tcMar>
              <w:left w:w="108" w:type="dxa"/>
              <w:right w:w="108" w:type="dxa"/>
            </w:tcMar>
            <w:vAlign w:val="center"/>
          </w:tcPr>
          <w:p w14:paraId="41E6E79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color w:val="000000" w:themeColor="text1"/>
                <w:kern w:val="0"/>
                <w:sz w:val="21"/>
                <w:szCs w:val="21"/>
                <w:lang w:eastAsia="zh-CN" w:bidi="ar-SA"/>
                <w14:textFill>
                  <w14:solidFill>
                    <w14:schemeClr w14:val="tx1"/>
                  </w14:solidFill>
                </w14:textFill>
              </w:rPr>
              <w:t>自然人</w:t>
            </w:r>
          </w:p>
        </w:tc>
        <w:tc>
          <w:tcPr>
            <w:tcW w:w="484" w:type="dxa"/>
            <w:gridSpan w:val="5"/>
            <w:shd w:val="clear" w:color="auto" w:fill="auto"/>
            <w:tcMar>
              <w:left w:w="108" w:type="dxa"/>
              <w:right w:w="108" w:type="dxa"/>
            </w:tcMar>
            <w:vAlign w:val="center"/>
          </w:tcPr>
          <w:p w14:paraId="393CEDF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color w:val="000000" w:themeColor="text1"/>
                <w:kern w:val="0"/>
                <w:sz w:val="21"/>
                <w:szCs w:val="21"/>
                <w:lang w:eastAsia="zh-CN" w:bidi="ar-SA"/>
                <w14:textFill>
                  <w14:solidFill>
                    <w14:schemeClr w14:val="tx1"/>
                  </w14:solidFill>
                </w14:textFill>
              </w:rPr>
              <w:t>法人或其他组织</w:t>
            </w:r>
          </w:p>
        </w:tc>
        <w:tc>
          <w:tcPr>
            <w:tcW w:w="486" w:type="dxa"/>
            <w:vMerge w:val="restart"/>
            <w:shd w:val="clear" w:color="auto" w:fill="auto"/>
            <w:tcMar>
              <w:left w:w="108" w:type="dxa"/>
              <w:right w:w="108" w:type="dxa"/>
            </w:tcMar>
            <w:vAlign w:val="center"/>
          </w:tcPr>
          <w:p w14:paraId="59B7164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color w:val="000000" w:themeColor="text1"/>
                <w:kern w:val="0"/>
                <w:sz w:val="21"/>
                <w:szCs w:val="21"/>
                <w:lang w:eastAsia="zh-CN" w:bidi="ar-SA"/>
                <w14:textFill>
                  <w14:solidFill>
                    <w14:schemeClr w14:val="tx1"/>
                  </w14:solidFill>
                </w14:textFill>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continue"/>
            <w:shd w:val="clear" w:color="auto" w:fill="auto"/>
            <w:tcMar>
              <w:left w:w="108" w:type="dxa"/>
              <w:right w:w="108" w:type="dxa"/>
            </w:tcMar>
            <w:vAlign w:val="center"/>
          </w:tcPr>
          <w:p w14:paraId="611167E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p>
        </w:tc>
        <w:tc>
          <w:tcPr>
            <w:tcW w:w="543" w:type="dxa"/>
            <w:vMerge w:val="continue"/>
            <w:shd w:val="clear" w:color="auto" w:fill="auto"/>
            <w:tcMar>
              <w:left w:w="108" w:type="dxa"/>
              <w:right w:w="108" w:type="dxa"/>
            </w:tcMar>
            <w:vAlign w:val="center"/>
          </w:tcPr>
          <w:p w14:paraId="25E7187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p>
        </w:tc>
        <w:tc>
          <w:tcPr>
            <w:tcW w:w="699" w:type="dxa"/>
            <w:shd w:val="clear" w:color="auto" w:fill="auto"/>
            <w:tcMar>
              <w:left w:w="108" w:type="dxa"/>
              <w:right w:w="108" w:type="dxa"/>
            </w:tcMar>
            <w:vAlign w:val="center"/>
          </w:tcPr>
          <w:p w14:paraId="44B8D88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color w:val="000000" w:themeColor="text1"/>
                <w:kern w:val="0"/>
                <w:sz w:val="21"/>
                <w:szCs w:val="21"/>
                <w:lang w:eastAsia="zh-CN" w:bidi="ar-SA"/>
                <w14:textFill>
                  <w14:solidFill>
                    <w14:schemeClr w14:val="tx1"/>
                  </w14:solidFill>
                </w14:textFill>
              </w:rPr>
              <w:t>商业企业</w:t>
            </w:r>
          </w:p>
        </w:tc>
        <w:tc>
          <w:tcPr>
            <w:tcW w:w="699" w:type="dxa"/>
            <w:shd w:val="clear" w:color="auto" w:fill="auto"/>
            <w:tcMar>
              <w:left w:w="108" w:type="dxa"/>
              <w:right w:w="108" w:type="dxa"/>
            </w:tcMar>
            <w:vAlign w:val="center"/>
          </w:tcPr>
          <w:p w14:paraId="2639F86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color w:val="000000" w:themeColor="text1"/>
                <w:kern w:val="0"/>
                <w:sz w:val="21"/>
                <w:szCs w:val="21"/>
                <w:lang w:eastAsia="zh-CN" w:bidi="ar-SA"/>
                <w14:textFill>
                  <w14:solidFill>
                    <w14:schemeClr w14:val="tx1"/>
                  </w14:solidFill>
                </w14:textFill>
              </w:rPr>
              <w:t>科研机构</w:t>
            </w:r>
          </w:p>
        </w:tc>
        <w:tc>
          <w:tcPr>
            <w:tcW w:w="877" w:type="dxa"/>
            <w:shd w:val="clear" w:color="auto" w:fill="auto"/>
            <w:tcMar>
              <w:left w:w="108" w:type="dxa"/>
              <w:right w:w="108" w:type="dxa"/>
            </w:tcMar>
            <w:vAlign w:val="center"/>
          </w:tcPr>
          <w:p w14:paraId="3076DB2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color w:val="000000" w:themeColor="text1"/>
                <w:kern w:val="0"/>
                <w:sz w:val="21"/>
                <w:szCs w:val="21"/>
                <w:lang w:eastAsia="zh-CN" w:bidi="ar-SA"/>
                <w14:textFill>
                  <w14:solidFill>
                    <w14:schemeClr w14:val="tx1"/>
                  </w14:solidFill>
                </w14:textFill>
              </w:rPr>
              <w:t>社会公益组织</w:t>
            </w:r>
          </w:p>
        </w:tc>
        <w:tc>
          <w:tcPr>
            <w:tcW w:w="701" w:type="dxa"/>
            <w:shd w:val="clear" w:color="auto" w:fill="auto"/>
            <w:tcMar>
              <w:left w:w="108" w:type="dxa"/>
              <w:right w:w="108" w:type="dxa"/>
            </w:tcMar>
            <w:vAlign w:val="center"/>
          </w:tcPr>
          <w:p w14:paraId="3BBC7AD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color w:val="000000" w:themeColor="text1"/>
                <w:kern w:val="0"/>
                <w:sz w:val="21"/>
                <w:szCs w:val="21"/>
                <w:lang w:eastAsia="zh-CN" w:bidi="ar-SA"/>
                <w14:textFill>
                  <w14:solidFill>
                    <w14:schemeClr w14:val="tx1"/>
                  </w14:solidFill>
                </w14:textFill>
              </w:rPr>
              <w:t>法律服务机构</w:t>
            </w:r>
          </w:p>
        </w:tc>
        <w:tc>
          <w:tcPr>
            <w:tcW w:w="484" w:type="dxa"/>
            <w:shd w:val="clear" w:color="auto" w:fill="auto"/>
            <w:tcMar>
              <w:left w:w="108" w:type="dxa"/>
              <w:right w:w="108" w:type="dxa"/>
            </w:tcMar>
            <w:vAlign w:val="center"/>
          </w:tcPr>
          <w:p w14:paraId="0254570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color w:val="000000" w:themeColor="text1"/>
                <w:kern w:val="0"/>
                <w:sz w:val="21"/>
                <w:szCs w:val="21"/>
                <w:lang w:eastAsia="zh-CN" w:bidi="ar-SA"/>
                <w14:textFill>
                  <w14:solidFill>
                    <w14:schemeClr w14:val="tx1"/>
                  </w14:solidFill>
                </w14:textFill>
              </w:rPr>
              <w:t>其他</w:t>
            </w:r>
          </w:p>
        </w:tc>
        <w:tc>
          <w:tcPr>
            <w:tcW w:w="486" w:type="dxa"/>
            <w:vMerge w:val="continue"/>
            <w:shd w:val="clear" w:color="auto" w:fill="auto"/>
            <w:tcMar>
              <w:left w:w="108" w:type="dxa"/>
              <w:right w:w="108" w:type="dxa"/>
            </w:tcMar>
            <w:vAlign w:val="center"/>
          </w:tcPr>
          <w:p w14:paraId="5604E28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000000" w:themeColor="text1"/>
                <w:kern w:val="2"/>
                <w:sz w:val="21"/>
                <w:szCs w:val="21"/>
                <w:lang w:eastAsia="zh-CN" w:bidi="ar-SA"/>
                <w14:textFill>
                  <w14:solidFill>
                    <w14:schemeClr w14:val="tx1"/>
                  </w14:solidFill>
                </w14:textFill>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7225899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一、</w:t>
            </w:r>
            <w:bookmarkStart w:id="0" w:name="_Hlk66973412"/>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本年新收政府信息公开申请数量</w:t>
            </w:r>
            <w:bookmarkEnd w:id="0"/>
          </w:p>
        </w:tc>
        <w:tc>
          <w:tcPr>
            <w:tcW w:w="543" w:type="dxa"/>
            <w:shd w:val="clear" w:color="auto" w:fill="auto"/>
            <w:tcMar>
              <w:left w:w="108" w:type="dxa"/>
              <w:right w:w="108" w:type="dxa"/>
            </w:tcMar>
            <w:vAlign w:val="center"/>
          </w:tcPr>
          <w:p w14:paraId="4098FD7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1</w:t>
            </w:r>
          </w:p>
        </w:tc>
        <w:tc>
          <w:tcPr>
            <w:tcW w:w="699" w:type="dxa"/>
            <w:shd w:val="clear" w:color="auto" w:fill="auto"/>
            <w:tcMar>
              <w:left w:w="108" w:type="dxa"/>
              <w:right w:w="108" w:type="dxa"/>
            </w:tcMar>
            <w:vAlign w:val="center"/>
          </w:tcPr>
          <w:p w14:paraId="7EA571E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33D9570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746B773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4372D36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0CBE79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6937889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1</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5E48B0F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二、上年结转政府信息公开申请数量</w:t>
            </w:r>
          </w:p>
        </w:tc>
        <w:tc>
          <w:tcPr>
            <w:tcW w:w="543" w:type="dxa"/>
            <w:shd w:val="clear" w:color="auto" w:fill="auto"/>
            <w:tcMar>
              <w:left w:w="108" w:type="dxa"/>
              <w:right w:w="108" w:type="dxa"/>
            </w:tcMar>
            <w:vAlign w:val="center"/>
          </w:tcPr>
          <w:p w14:paraId="0A433C1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6993E11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4CA22B6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6E3B3BC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02945E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17518A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26D1CB4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restart"/>
            <w:shd w:val="clear" w:color="auto" w:fill="auto"/>
            <w:tcMar>
              <w:left w:w="108" w:type="dxa"/>
              <w:right w:w="108" w:type="dxa"/>
            </w:tcMar>
            <w:vAlign w:val="center"/>
          </w:tcPr>
          <w:p w14:paraId="0989E0F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三、本年度办理结果</w:t>
            </w:r>
          </w:p>
        </w:tc>
        <w:tc>
          <w:tcPr>
            <w:tcW w:w="2355" w:type="dxa"/>
            <w:gridSpan w:val="2"/>
            <w:shd w:val="clear" w:color="auto" w:fill="auto"/>
            <w:tcMar>
              <w:left w:w="108" w:type="dxa"/>
              <w:right w:w="108" w:type="dxa"/>
            </w:tcMar>
            <w:vAlign w:val="center"/>
          </w:tcPr>
          <w:p w14:paraId="76FF7A4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（一）予以公开</w:t>
            </w:r>
          </w:p>
        </w:tc>
        <w:tc>
          <w:tcPr>
            <w:tcW w:w="543" w:type="dxa"/>
            <w:shd w:val="clear" w:color="auto" w:fill="auto"/>
            <w:tcMar>
              <w:left w:w="108" w:type="dxa"/>
              <w:right w:w="108" w:type="dxa"/>
            </w:tcMar>
            <w:vAlign w:val="center"/>
          </w:tcPr>
          <w:p w14:paraId="77603D0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1</w:t>
            </w:r>
          </w:p>
        </w:tc>
        <w:tc>
          <w:tcPr>
            <w:tcW w:w="699" w:type="dxa"/>
            <w:shd w:val="clear" w:color="auto" w:fill="auto"/>
            <w:tcMar>
              <w:left w:w="108" w:type="dxa"/>
              <w:right w:w="108" w:type="dxa"/>
            </w:tcMar>
            <w:vAlign w:val="center"/>
          </w:tcPr>
          <w:p w14:paraId="5A4E9E0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4F60E12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31C8364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7B11E77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5732A84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2CE09C6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1</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AB37C8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gridSpan w:val="2"/>
            <w:shd w:val="clear" w:color="auto" w:fill="auto"/>
            <w:tcMar>
              <w:left w:w="108" w:type="dxa"/>
              <w:right w:w="108" w:type="dxa"/>
            </w:tcMar>
            <w:vAlign w:val="center"/>
          </w:tcPr>
          <w:p w14:paraId="6C471E1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（二）部分公开（</w:t>
            </w:r>
            <w:bookmarkStart w:id="1" w:name="_Hlk66973981"/>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区分处理的，只计这一情形，不计其他情形</w:t>
            </w:r>
            <w:bookmarkEnd w:id="1"/>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w:t>
            </w:r>
          </w:p>
        </w:tc>
        <w:tc>
          <w:tcPr>
            <w:tcW w:w="543" w:type="dxa"/>
            <w:shd w:val="clear" w:color="auto" w:fill="auto"/>
            <w:tcMar>
              <w:left w:w="108" w:type="dxa"/>
              <w:right w:w="108" w:type="dxa"/>
            </w:tcMar>
            <w:vAlign w:val="center"/>
          </w:tcPr>
          <w:p w14:paraId="286DBD6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05E1D0A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01ED8A4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39D3C1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1608D7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7A465CE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17296ED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DD22ED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restart"/>
            <w:shd w:val="clear" w:color="auto" w:fill="auto"/>
            <w:tcMar>
              <w:left w:w="108" w:type="dxa"/>
              <w:right w:w="108" w:type="dxa"/>
            </w:tcMar>
            <w:vAlign w:val="center"/>
          </w:tcPr>
          <w:p w14:paraId="5139BBD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（三）不予公开</w:t>
            </w:r>
          </w:p>
        </w:tc>
        <w:tc>
          <w:tcPr>
            <w:tcW w:w="2355" w:type="dxa"/>
            <w:shd w:val="clear" w:color="auto" w:fill="auto"/>
            <w:tcMar>
              <w:left w:w="108" w:type="dxa"/>
              <w:right w:w="108" w:type="dxa"/>
            </w:tcMar>
            <w:vAlign w:val="center"/>
          </w:tcPr>
          <w:p w14:paraId="5043CB3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1.属于国家秘密</w:t>
            </w:r>
          </w:p>
        </w:tc>
        <w:tc>
          <w:tcPr>
            <w:tcW w:w="543" w:type="dxa"/>
            <w:shd w:val="clear" w:color="auto" w:fill="auto"/>
            <w:tcMar>
              <w:left w:w="108" w:type="dxa"/>
              <w:right w:w="108" w:type="dxa"/>
            </w:tcMar>
            <w:vAlign w:val="center"/>
          </w:tcPr>
          <w:p w14:paraId="7B1B6B6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2B8C266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30EBB60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17B672D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2FBC230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2AAEC87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1D12630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26D234E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47A4227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7519D29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2.</w:t>
            </w:r>
            <w:bookmarkStart w:id="2" w:name="_Hlk66974104"/>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其他法律行政法规禁止公开</w:t>
            </w:r>
            <w:bookmarkEnd w:id="2"/>
          </w:p>
        </w:tc>
        <w:tc>
          <w:tcPr>
            <w:tcW w:w="543" w:type="dxa"/>
            <w:shd w:val="clear" w:color="auto" w:fill="auto"/>
            <w:tcMar>
              <w:left w:w="108" w:type="dxa"/>
              <w:right w:w="108" w:type="dxa"/>
            </w:tcMar>
            <w:vAlign w:val="center"/>
          </w:tcPr>
          <w:p w14:paraId="3F80F16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40D3CA0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718F63E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5AA6C3B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33A3DF9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1AD4FE9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1383BC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62E894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441C4DE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34277C1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3.危及“三安全一稳定”</w:t>
            </w:r>
          </w:p>
        </w:tc>
        <w:tc>
          <w:tcPr>
            <w:tcW w:w="543" w:type="dxa"/>
            <w:shd w:val="clear" w:color="auto" w:fill="auto"/>
            <w:tcMar>
              <w:left w:w="108" w:type="dxa"/>
              <w:right w:w="108" w:type="dxa"/>
            </w:tcMar>
            <w:vAlign w:val="center"/>
          </w:tcPr>
          <w:p w14:paraId="3B4C284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5852188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2D77CB0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64FAB87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0A3EA82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40E50AB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3DE659B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B66575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1C6AB0F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1729D72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4.</w:t>
            </w:r>
            <w:bookmarkStart w:id="3" w:name="_Hlk66974290"/>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保护第三方合法权益</w:t>
            </w:r>
            <w:bookmarkEnd w:id="3"/>
          </w:p>
        </w:tc>
        <w:tc>
          <w:tcPr>
            <w:tcW w:w="543" w:type="dxa"/>
            <w:shd w:val="clear" w:color="auto" w:fill="auto"/>
            <w:tcMar>
              <w:left w:w="108" w:type="dxa"/>
              <w:right w:w="108" w:type="dxa"/>
            </w:tcMar>
            <w:vAlign w:val="center"/>
          </w:tcPr>
          <w:p w14:paraId="2C6E3B8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47A4951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03D9E27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069AE4B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0B5AC9B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1D5B7E6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437FE41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8CBB34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718CCD5A">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2BF4D55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5.属于三类内部事务信息</w:t>
            </w:r>
          </w:p>
        </w:tc>
        <w:tc>
          <w:tcPr>
            <w:tcW w:w="543" w:type="dxa"/>
            <w:shd w:val="clear" w:color="auto" w:fill="auto"/>
            <w:tcMar>
              <w:left w:w="108" w:type="dxa"/>
              <w:right w:w="108" w:type="dxa"/>
            </w:tcMar>
            <w:vAlign w:val="center"/>
          </w:tcPr>
          <w:p w14:paraId="69F00A9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1B4B190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0768A4F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553B987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511D03E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6C3DD83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211BDA7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0E2FAF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18BB619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13C98D8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6.</w:t>
            </w:r>
            <w:bookmarkStart w:id="4" w:name="_Hlk66974555"/>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属于四类过程性信息</w:t>
            </w:r>
            <w:bookmarkEnd w:id="4"/>
          </w:p>
        </w:tc>
        <w:tc>
          <w:tcPr>
            <w:tcW w:w="543" w:type="dxa"/>
            <w:shd w:val="clear" w:color="auto" w:fill="auto"/>
            <w:tcMar>
              <w:left w:w="108" w:type="dxa"/>
              <w:right w:w="108" w:type="dxa"/>
            </w:tcMar>
            <w:vAlign w:val="center"/>
          </w:tcPr>
          <w:p w14:paraId="147302A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14F1BF5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2A399D4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2683FF4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7DE5FD9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663C49F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2E9B389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78AD95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537BC64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5FEA3C2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7.属于行政执法案卷</w:t>
            </w:r>
          </w:p>
        </w:tc>
        <w:tc>
          <w:tcPr>
            <w:tcW w:w="543" w:type="dxa"/>
            <w:shd w:val="clear" w:color="auto" w:fill="auto"/>
            <w:tcMar>
              <w:left w:w="108" w:type="dxa"/>
              <w:right w:w="108" w:type="dxa"/>
            </w:tcMar>
            <w:vAlign w:val="center"/>
          </w:tcPr>
          <w:p w14:paraId="35E43F8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7209A92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2EC9E22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1401EF2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4D12DC6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3481E57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7478016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4E7699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5CD2732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3E4459E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8.</w:t>
            </w:r>
            <w:bookmarkStart w:id="5" w:name="_Hlk66975211"/>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属于行政查询事项</w:t>
            </w:r>
            <w:bookmarkEnd w:id="5"/>
          </w:p>
        </w:tc>
        <w:tc>
          <w:tcPr>
            <w:tcW w:w="543" w:type="dxa"/>
            <w:shd w:val="clear" w:color="auto" w:fill="auto"/>
            <w:tcMar>
              <w:left w:w="108" w:type="dxa"/>
              <w:right w:w="108" w:type="dxa"/>
            </w:tcMar>
            <w:vAlign w:val="center"/>
          </w:tcPr>
          <w:p w14:paraId="094E471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18E6327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10BED3C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62B42DB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1ACAB2D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50B10E8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112091E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2B1CBA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restart"/>
            <w:shd w:val="clear" w:color="auto" w:fill="auto"/>
            <w:tcMar>
              <w:left w:w="108" w:type="dxa"/>
              <w:right w:w="108" w:type="dxa"/>
            </w:tcMar>
            <w:vAlign w:val="center"/>
          </w:tcPr>
          <w:p w14:paraId="0F250D9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（四）无法提供</w:t>
            </w:r>
          </w:p>
        </w:tc>
        <w:tc>
          <w:tcPr>
            <w:tcW w:w="2355" w:type="dxa"/>
            <w:shd w:val="clear" w:color="auto" w:fill="auto"/>
            <w:tcMar>
              <w:left w:w="108" w:type="dxa"/>
              <w:right w:w="108" w:type="dxa"/>
            </w:tcMar>
            <w:vAlign w:val="center"/>
          </w:tcPr>
          <w:p w14:paraId="77D5F5D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1.本机关不掌握相关政府信息</w:t>
            </w:r>
          </w:p>
        </w:tc>
        <w:tc>
          <w:tcPr>
            <w:tcW w:w="543" w:type="dxa"/>
            <w:shd w:val="clear" w:color="auto" w:fill="auto"/>
            <w:tcMar>
              <w:left w:w="108" w:type="dxa"/>
              <w:right w:w="108" w:type="dxa"/>
            </w:tcMar>
            <w:vAlign w:val="center"/>
          </w:tcPr>
          <w:p w14:paraId="22C0A1F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1B232FB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079F841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7AD3B4C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14DD2B7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29C66F7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2C559D6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C13DF3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49E08DF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67660F1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2.</w:t>
            </w:r>
            <w:bookmarkStart w:id="6" w:name="_Hlk66975392"/>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没有现成信息需要另行制作</w:t>
            </w:r>
            <w:bookmarkEnd w:id="6"/>
          </w:p>
        </w:tc>
        <w:tc>
          <w:tcPr>
            <w:tcW w:w="543" w:type="dxa"/>
            <w:shd w:val="clear" w:color="auto" w:fill="auto"/>
            <w:tcMar>
              <w:left w:w="108" w:type="dxa"/>
              <w:right w:w="108" w:type="dxa"/>
            </w:tcMar>
            <w:vAlign w:val="center"/>
          </w:tcPr>
          <w:p w14:paraId="472677A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1450D18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2AC1D30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6F90D46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5A76A4F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2CF71BB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127F8F5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0FEF20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50E6178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4BDBFBF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3.</w:t>
            </w:r>
            <w:bookmarkStart w:id="7" w:name="_Hlk66975466"/>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补正后申请内容仍不明确</w:t>
            </w:r>
            <w:bookmarkEnd w:id="7"/>
          </w:p>
        </w:tc>
        <w:tc>
          <w:tcPr>
            <w:tcW w:w="543" w:type="dxa"/>
            <w:shd w:val="clear" w:color="auto" w:fill="auto"/>
            <w:tcMar>
              <w:left w:w="108" w:type="dxa"/>
              <w:right w:w="108" w:type="dxa"/>
            </w:tcMar>
            <w:vAlign w:val="center"/>
          </w:tcPr>
          <w:p w14:paraId="1D9925D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50ED78D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0D91D19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7CD7DF1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63E921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6FC4B58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2717851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2500506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restart"/>
            <w:shd w:val="clear" w:color="auto" w:fill="auto"/>
            <w:tcMar>
              <w:left w:w="108" w:type="dxa"/>
              <w:right w:w="108" w:type="dxa"/>
            </w:tcMar>
            <w:vAlign w:val="center"/>
          </w:tcPr>
          <w:p w14:paraId="370E1C6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（五）不予处理</w:t>
            </w:r>
          </w:p>
        </w:tc>
        <w:tc>
          <w:tcPr>
            <w:tcW w:w="2355" w:type="dxa"/>
            <w:shd w:val="clear" w:color="auto" w:fill="auto"/>
            <w:tcMar>
              <w:left w:w="108" w:type="dxa"/>
              <w:right w:w="108" w:type="dxa"/>
            </w:tcMar>
            <w:vAlign w:val="center"/>
          </w:tcPr>
          <w:p w14:paraId="65124A2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1.</w:t>
            </w:r>
            <w:bookmarkStart w:id="8" w:name="_Hlk66975537"/>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信访举报投诉类申请</w:t>
            </w:r>
            <w:bookmarkEnd w:id="8"/>
          </w:p>
        </w:tc>
        <w:tc>
          <w:tcPr>
            <w:tcW w:w="543" w:type="dxa"/>
            <w:shd w:val="clear" w:color="auto" w:fill="auto"/>
            <w:tcMar>
              <w:left w:w="108" w:type="dxa"/>
              <w:right w:w="108" w:type="dxa"/>
            </w:tcMar>
            <w:vAlign w:val="center"/>
          </w:tcPr>
          <w:p w14:paraId="5D6534E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2C7F0EB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24A8BE6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07935D6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10B4EC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0716F67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58C203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944609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47765D4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5FA6602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2.重复申请</w:t>
            </w:r>
          </w:p>
        </w:tc>
        <w:tc>
          <w:tcPr>
            <w:tcW w:w="543" w:type="dxa"/>
            <w:shd w:val="clear" w:color="auto" w:fill="auto"/>
            <w:tcMar>
              <w:left w:w="108" w:type="dxa"/>
              <w:right w:w="108" w:type="dxa"/>
            </w:tcMar>
            <w:vAlign w:val="center"/>
          </w:tcPr>
          <w:p w14:paraId="69D3D70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6DD879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603403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544110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2DC5054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66BC36C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69D946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7AC1BB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2EE583B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448C3D7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3.要求提供公开出版物</w:t>
            </w:r>
          </w:p>
        </w:tc>
        <w:tc>
          <w:tcPr>
            <w:tcW w:w="543" w:type="dxa"/>
            <w:shd w:val="clear" w:color="auto" w:fill="auto"/>
            <w:tcMar>
              <w:left w:w="108" w:type="dxa"/>
              <w:right w:w="108" w:type="dxa"/>
            </w:tcMar>
            <w:vAlign w:val="center"/>
          </w:tcPr>
          <w:p w14:paraId="395002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284B681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0DD1BC3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15DD4A1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58B6EE9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73EEB30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00B19B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98E072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797137E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27D2E4E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4.无正当理由大量反复申请</w:t>
            </w:r>
          </w:p>
        </w:tc>
        <w:tc>
          <w:tcPr>
            <w:tcW w:w="543" w:type="dxa"/>
            <w:shd w:val="clear" w:color="auto" w:fill="auto"/>
            <w:tcMar>
              <w:left w:w="108" w:type="dxa"/>
              <w:right w:w="108" w:type="dxa"/>
            </w:tcMar>
            <w:vAlign w:val="center"/>
          </w:tcPr>
          <w:p w14:paraId="2129B23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59FFAD7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58A6F9B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26E1010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220323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3F889C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4F06DE5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2B6DFD6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20E94EC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2355" w:type="dxa"/>
            <w:shd w:val="clear" w:color="auto" w:fill="auto"/>
            <w:tcMar>
              <w:left w:w="108" w:type="dxa"/>
              <w:right w:w="108" w:type="dxa"/>
            </w:tcMar>
            <w:vAlign w:val="center"/>
          </w:tcPr>
          <w:p w14:paraId="2D33B5D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5.要求行政机关确认或重新</w:t>
            </w:r>
          </w:p>
          <w:p w14:paraId="4C3AD89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出具已获取信息</w:t>
            </w:r>
          </w:p>
        </w:tc>
        <w:tc>
          <w:tcPr>
            <w:tcW w:w="543" w:type="dxa"/>
            <w:shd w:val="clear" w:color="auto" w:fill="auto"/>
            <w:tcMar>
              <w:left w:w="108" w:type="dxa"/>
              <w:right w:w="108" w:type="dxa"/>
            </w:tcMar>
            <w:vAlign w:val="center"/>
          </w:tcPr>
          <w:p w14:paraId="2DB8E98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70A016D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5BB773B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398414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096AA7E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4058093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6F2BB67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FEB6AC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restart"/>
            <w:shd w:val="clear" w:color="auto" w:fill="auto"/>
            <w:tcMar>
              <w:left w:w="108" w:type="dxa"/>
              <w:right w:w="108" w:type="dxa"/>
            </w:tcMar>
            <w:vAlign w:val="center"/>
          </w:tcPr>
          <w:p w14:paraId="3795D44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（六）其他处理</w:t>
            </w:r>
          </w:p>
        </w:tc>
        <w:tc>
          <w:tcPr>
            <w:tcW w:w="2355" w:type="dxa"/>
            <w:shd w:val="clear" w:color="auto" w:fill="auto"/>
            <w:vAlign w:val="center"/>
          </w:tcPr>
          <w:p w14:paraId="534C459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2"/>
                <w:lang w:eastAsia="zh-CN" w:bidi="ar-SA"/>
                <w14:textFill>
                  <w14:solidFill>
                    <w14:schemeClr w14:val="tx1"/>
                  </w14:solidFill>
                </w14:textFill>
              </w:rPr>
            </w:pPr>
            <w:r>
              <w:rPr>
                <w:rFonts w:hint="default" w:ascii="Times New Roman" w:hAnsi="Times New Roman" w:eastAsia="仿宋_GB2312" w:cs="Times New Roman"/>
                <w:color w:val="000000" w:themeColor="text1"/>
                <w:kern w:val="2"/>
                <w:sz w:val="21"/>
                <w:szCs w:val="22"/>
                <w:lang w:eastAsia="zh-CN" w:bidi="ar-SA"/>
                <w14:textFill>
                  <w14:solidFill>
                    <w14:schemeClr w14:val="tx1"/>
                  </w14:solidFill>
                </w14:textFill>
              </w:rPr>
              <w:t>1.申请人无正当理由逾期不补正、行政机关不再处理其政府信息公开申请</w:t>
            </w:r>
          </w:p>
        </w:tc>
        <w:tc>
          <w:tcPr>
            <w:tcW w:w="543" w:type="dxa"/>
            <w:shd w:val="clear" w:color="auto" w:fill="auto"/>
            <w:tcMar>
              <w:left w:w="108" w:type="dxa"/>
              <w:right w:w="108" w:type="dxa"/>
            </w:tcMar>
            <w:vAlign w:val="center"/>
          </w:tcPr>
          <w:p w14:paraId="5822FC0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343CA11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3E2B047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16058C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4BDA70A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55F775A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09289A2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8E9799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6D09290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p>
        </w:tc>
        <w:tc>
          <w:tcPr>
            <w:tcW w:w="2355" w:type="dxa"/>
            <w:shd w:val="clear" w:color="auto" w:fill="auto"/>
            <w:vAlign w:val="center"/>
          </w:tcPr>
          <w:p w14:paraId="6209576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2"/>
                <w:sz w:val="21"/>
                <w:szCs w:val="22"/>
                <w:lang w:eastAsia="zh-CN" w:bidi="ar-SA"/>
                <w14:textFill>
                  <w14:solidFill>
                    <w14:schemeClr w14:val="tx1"/>
                  </w14:solidFill>
                </w14:textFill>
              </w:rPr>
              <w:t>2.申请人逾期未按收费通知要求缴纳费用、行政机关不再处理其政府信息公开申请</w:t>
            </w:r>
          </w:p>
        </w:tc>
        <w:tc>
          <w:tcPr>
            <w:tcW w:w="543" w:type="dxa"/>
            <w:shd w:val="clear" w:color="auto" w:fill="auto"/>
            <w:tcMar>
              <w:left w:w="108" w:type="dxa"/>
              <w:right w:w="108" w:type="dxa"/>
            </w:tcMar>
            <w:vAlign w:val="center"/>
          </w:tcPr>
          <w:p w14:paraId="00534CA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36C4683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5796EC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692913B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12FC46F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6AB216F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1513B73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5E3AAF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p>
        </w:tc>
        <w:tc>
          <w:tcPr>
            <w:tcW w:w="1064" w:type="dxa"/>
            <w:vMerge w:val="continue"/>
            <w:shd w:val="clear" w:color="auto" w:fill="auto"/>
            <w:tcMar>
              <w:left w:w="108" w:type="dxa"/>
              <w:right w:w="108" w:type="dxa"/>
            </w:tcMar>
            <w:vAlign w:val="center"/>
          </w:tcPr>
          <w:p w14:paraId="1D95747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p>
        </w:tc>
        <w:tc>
          <w:tcPr>
            <w:tcW w:w="2355" w:type="dxa"/>
            <w:shd w:val="clear" w:color="auto" w:fill="auto"/>
            <w:vAlign w:val="center"/>
          </w:tcPr>
          <w:p w14:paraId="1B06D8C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2"/>
                <w:sz w:val="21"/>
                <w:szCs w:val="22"/>
                <w:lang w:eastAsia="zh-CN" w:bidi="ar-SA"/>
                <w14:textFill>
                  <w14:solidFill>
                    <w14:schemeClr w14:val="tx1"/>
                  </w14:solidFill>
                </w14:textFill>
              </w:rPr>
              <w:t>3.其他</w:t>
            </w:r>
          </w:p>
        </w:tc>
        <w:tc>
          <w:tcPr>
            <w:tcW w:w="543" w:type="dxa"/>
            <w:shd w:val="clear" w:color="auto" w:fill="auto"/>
            <w:tcMar>
              <w:left w:w="108" w:type="dxa"/>
              <w:right w:w="108" w:type="dxa"/>
            </w:tcMar>
            <w:vAlign w:val="center"/>
          </w:tcPr>
          <w:p w14:paraId="64DBBF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3BE2F69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2A7E65B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63D1FC0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3211D9D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1489E3D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03EF2A2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D0433F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color w:val="000000" w:themeColor="text1"/>
                <w:kern w:val="2"/>
                <w:sz w:val="21"/>
                <w:szCs w:val="21"/>
                <w:lang w:eastAsia="zh-CN" w:bidi="ar-SA"/>
                <w14:textFill>
                  <w14:solidFill>
                    <w14:schemeClr w14:val="tx1"/>
                  </w14:solidFill>
                </w14:textFill>
              </w:rPr>
            </w:pPr>
          </w:p>
        </w:tc>
        <w:tc>
          <w:tcPr>
            <w:tcW w:w="2355" w:type="dxa"/>
            <w:gridSpan w:val="2"/>
            <w:shd w:val="clear" w:color="auto" w:fill="auto"/>
            <w:tcMar>
              <w:left w:w="108" w:type="dxa"/>
              <w:right w:w="108" w:type="dxa"/>
            </w:tcMar>
            <w:vAlign w:val="center"/>
          </w:tcPr>
          <w:p w14:paraId="6E4B35D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color w:val="000000" w:themeColor="text1"/>
                <w:kern w:val="0"/>
                <w:sz w:val="21"/>
                <w:szCs w:val="21"/>
                <w:lang w:eastAsia="zh-CN" w:bidi="ar-SA"/>
                <w14:textFill>
                  <w14:solidFill>
                    <w14:schemeClr w14:val="tx1"/>
                  </w14:solidFill>
                </w14:textFill>
              </w:rPr>
              <w:t>（七）总计</w:t>
            </w:r>
          </w:p>
        </w:tc>
        <w:tc>
          <w:tcPr>
            <w:tcW w:w="543" w:type="dxa"/>
            <w:shd w:val="clear" w:color="auto" w:fill="auto"/>
            <w:tcMar>
              <w:left w:w="108" w:type="dxa"/>
              <w:right w:w="108" w:type="dxa"/>
            </w:tcMar>
            <w:vAlign w:val="center"/>
          </w:tcPr>
          <w:p w14:paraId="2FA580E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b/>
                <w:color w:val="000000" w:themeColor="text1"/>
                <w:kern w:val="2"/>
                <w:sz w:val="21"/>
                <w:szCs w:val="21"/>
                <w:lang w:val="en-US" w:eastAsia="zh-CN" w:bidi="ar-SA"/>
                <w14:textFill>
                  <w14:solidFill>
                    <w14:schemeClr w14:val="tx1"/>
                  </w14:solidFill>
                </w14:textFill>
              </w:rPr>
              <w:t>1</w:t>
            </w:r>
          </w:p>
        </w:tc>
        <w:tc>
          <w:tcPr>
            <w:tcW w:w="699" w:type="dxa"/>
            <w:shd w:val="clear" w:color="auto" w:fill="auto"/>
            <w:tcMar>
              <w:left w:w="108" w:type="dxa"/>
              <w:right w:w="108" w:type="dxa"/>
            </w:tcMar>
            <w:vAlign w:val="center"/>
          </w:tcPr>
          <w:p w14:paraId="62A1C34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b/>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1BAE0FC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b/>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31A3C67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b/>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35981ED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b/>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513E679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b/>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5079EA3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b/>
                <w:color w:val="000000" w:themeColor="text1"/>
                <w:kern w:val="2"/>
                <w:sz w:val="21"/>
                <w:szCs w:val="21"/>
                <w:lang w:val="en-US" w:eastAsia="zh-CN" w:bidi="ar-SA"/>
                <w14:textFill>
                  <w14:solidFill>
                    <w14:schemeClr w14:val="tx1"/>
                  </w14:solidFill>
                </w14:textFill>
              </w:rPr>
              <w:t>1</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1731A5B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bidi="ar-SA"/>
                <w14:textFill>
                  <w14:solidFill>
                    <w14:schemeClr w14:val="tx1"/>
                  </w14:solidFill>
                </w14:textFill>
              </w:rPr>
              <w:t>四、结转下年度继续办理</w:t>
            </w:r>
          </w:p>
        </w:tc>
        <w:tc>
          <w:tcPr>
            <w:tcW w:w="543" w:type="dxa"/>
            <w:shd w:val="clear" w:color="auto" w:fill="auto"/>
            <w:tcMar>
              <w:left w:w="108" w:type="dxa"/>
              <w:right w:w="108" w:type="dxa"/>
            </w:tcMar>
            <w:vAlign w:val="center"/>
          </w:tcPr>
          <w:p w14:paraId="2E1C3EF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7B1F033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699" w:type="dxa"/>
            <w:shd w:val="clear" w:color="auto" w:fill="auto"/>
            <w:tcMar>
              <w:left w:w="108" w:type="dxa"/>
              <w:right w:w="108" w:type="dxa"/>
            </w:tcMar>
            <w:vAlign w:val="center"/>
          </w:tcPr>
          <w:p w14:paraId="3152C96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877" w:type="dxa"/>
            <w:shd w:val="clear" w:color="auto" w:fill="auto"/>
            <w:tcMar>
              <w:left w:w="108" w:type="dxa"/>
              <w:right w:w="108" w:type="dxa"/>
            </w:tcMar>
            <w:vAlign w:val="center"/>
          </w:tcPr>
          <w:p w14:paraId="4F7774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701" w:type="dxa"/>
            <w:shd w:val="clear" w:color="auto" w:fill="auto"/>
            <w:tcMar>
              <w:left w:w="108" w:type="dxa"/>
              <w:right w:w="108" w:type="dxa"/>
            </w:tcMar>
            <w:vAlign w:val="center"/>
          </w:tcPr>
          <w:p w14:paraId="51F2983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4" w:type="dxa"/>
            <w:shd w:val="clear" w:color="auto" w:fill="auto"/>
            <w:tcMar>
              <w:left w:w="108" w:type="dxa"/>
              <w:right w:w="108" w:type="dxa"/>
            </w:tcMar>
            <w:vAlign w:val="center"/>
          </w:tcPr>
          <w:p w14:paraId="62DA0BB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c>
          <w:tcPr>
            <w:tcW w:w="486" w:type="dxa"/>
            <w:shd w:val="clear" w:color="auto" w:fill="auto"/>
            <w:tcMar>
              <w:left w:w="108" w:type="dxa"/>
              <w:right w:w="108" w:type="dxa"/>
            </w:tcMar>
            <w:vAlign w:val="center"/>
          </w:tcPr>
          <w:p w14:paraId="26B0839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themeColor="text1"/>
                <w:kern w:val="2"/>
                <w:sz w:val="21"/>
                <w:szCs w:val="21"/>
                <w:lang w:eastAsia="zh-CN" w:bidi="ar-SA"/>
                <w14:textFill>
                  <w14:solidFill>
                    <w14:schemeClr w14:val="tx1"/>
                  </w14:solidFill>
                </w14:textFill>
              </w:rPr>
            </w:pPr>
            <w:r>
              <w:rPr>
                <w:rFonts w:hint="eastAsia" w:ascii="Times New Roman" w:eastAsia="仿宋_GB2312" w:cs="Times New Roman"/>
                <w:color w:val="000000" w:themeColor="text1"/>
                <w:kern w:val="2"/>
                <w:sz w:val="21"/>
                <w:szCs w:val="21"/>
                <w:lang w:val="en-US" w:eastAsia="zh-CN" w:bidi="ar-SA"/>
                <w14:textFill>
                  <w14:solidFill>
                    <w14:schemeClr w14:val="tx1"/>
                  </w14:solidFill>
                </w14:textFill>
              </w:rPr>
              <w:t>0</w:t>
            </w:r>
          </w:p>
        </w:tc>
      </w:tr>
    </w:tbl>
    <w:p w14:paraId="2AF86DEE">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lang w:val="en-US" w:eastAsia="zh-CN"/>
          <w14:textFill>
            <w14:solidFill>
              <w14:schemeClr w14:val="tx1"/>
            </w14:solidFill>
          </w14:textFill>
        </w:rPr>
        <w:t>四、</w:t>
      </w:r>
      <w:r>
        <w:rPr>
          <w:rFonts w:hint="default" w:ascii="Times New Roman" w:hAnsi="Times New Roman" w:eastAsia="黑体" w:cs="Times New Roman"/>
          <w:bCs/>
          <w:color w:val="000000" w:themeColor="text1"/>
          <w:sz w:val="32"/>
          <w:szCs w:val="32"/>
          <w14:textFill>
            <w14:solidFill>
              <w14:schemeClr w14:val="tx1"/>
            </w14:solidFill>
          </w14:textFill>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0169FACF">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2A48C8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DF109CF">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行政诉讼</w:t>
            </w:r>
          </w:p>
        </w:tc>
      </w:tr>
      <w:tr w14:paraId="4300C687">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717763C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结果 维持</w:t>
            </w:r>
          </w:p>
        </w:tc>
        <w:tc>
          <w:tcPr>
            <w:tcW w:w="329" w:type="pct"/>
            <w:vMerge w:val="restart"/>
            <w:tcBorders>
              <w:top w:val="single" w:color="auto" w:sz="4" w:space="0"/>
              <w:left w:val="single" w:color="auto" w:sz="4" w:space="0"/>
            </w:tcBorders>
            <w:shd w:val="clear" w:color="auto" w:fill="FFFFFF"/>
            <w:vAlign w:val="center"/>
          </w:tcPr>
          <w:p w14:paraId="3B6689E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结果 纠正</w:t>
            </w:r>
          </w:p>
        </w:tc>
        <w:tc>
          <w:tcPr>
            <w:tcW w:w="329" w:type="pct"/>
            <w:vMerge w:val="restart"/>
            <w:tcBorders>
              <w:top w:val="single" w:color="auto" w:sz="4" w:space="0"/>
              <w:left w:val="single" w:color="auto" w:sz="4" w:space="0"/>
            </w:tcBorders>
            <w:shd w:val="clear" w:color="auto" w:fill="FFFFFF"/>
            <w:vAlign w:val="center"/>
          </w:tcPr>
          <w:p w14:paraId="19718F5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其他 结果</w:t>
            </w:r>
          </w:p>
        </w:tc>
        <w:tc>
          <w:tcPr>
            <w:tcW w:w="329" w:type="pct"/>
            <w:vMerge w:val="restart"/>
            <w:tcBorders>
              <w:top w:val="single" w:color="auto" w:sz="4" w:space="0"/>
              <w:left w:val="single" w:color="auto" w:sz="4" w:space="0"/>
            </w:tcBorders>
            <w:shd w:val="clear" w:color="auto" w:fill="FFFFFF"/>
            <w:vAlign w:val="center"/>
          </w:tcPr>
          <w:p w14:paraId="0FF11E6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21287B69">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总计</w:t>
            </w:r>
          </w:p>
        </w:tc>
        <w:tc>
          <w:tcPr>
            <w:tcW w:w="1667" w:type="pct"/>
            <w:gridSpan w:val="5"/>
            <w:tcBorders>
              <w:top w:val="single" w:color="auto" w:sz="4" w:space="0"/>
              <w:left w:val="single" w:color="auto" w:sz="4" w:space="0"/>
            </w:tcBorders>
            <w:shd w:val="clear" w:color="auto" w:fill="FFFFFF"/>
            <w:vAlign w:val="center"/>
          </w:tcPr>
          <w:p w14:paraId="44DEE3D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1F7CAD87">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复议后起诉</w:t>
            </w:r>
          </w:p>
        </w:tc>
      </w:tr>
      <w:tr w14:paraId="283F0E29">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1E81FE8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000000" w:themeColor="text1"/>
                <w14:textFill>
                  <w14:solidFill>
                    <w14:schemeClr w14:val="tx1"/>
                  </w14:solidFill>
                </w14:textFill>
              </w:rPr>
            </w:pPr>
          </w:p>
        </w:tc>
        <w:tc>
          <w:tcPr>
            <w:tcW w:w="329" w:type="pct"/>
            <w:vMerge w:val="continue"/>
            <w:tcBorders>
              <w:left w:val="single" w:color="auto" w:sz="4" w:space="0"/>
            </w:tcBorders>
            <w:shd w:val="clear" w:color="auto" w:fill="FFFFFF"/>
            <w:vAlign w:val="center"/>
          </w:tcPr>
          <w:p w14:paraId="6B387F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000000" w:themeColor="text1"/>
                <w14:textFill>
                  <w14:solidFill>
                    <w14:schemeClr w14:val="tx1"/>
                  </w14:solidFill>
                </w14:textFill>
              </w:rPr>
            </w:pPr>
          </w:p>
        </w:tc>
        <w:tc>
          <w:tcPr>
            <w:tcW w:w="329" w:type="pct"/>
            <w:vMerge w:val="continue"/>
            <w:tcBorders>
              <w:left w:val="single" w:color="auto" w:sz="4" w:space="0"/>
            </w:tcBorders>
            <w:shd w:val="clear" w:color="auto" w:fill="FFFFFF"/>
            <w:vAlign w:val="center"/>
          </w:tcPr>
          <w:p w14:paraId="3176CE1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000000" w:themeColor="text1"/>
                <w14:textFill>
                  <w14:solidFill>
                    <w14:schemeClr w14:val="tx1"/>
                  </w14:solidFill>
                </w14:textFill>
              </w:rPr>
            </w:pPr>
          </w:p>
        </w:tc>
        <w:tc>
          <w:tcPr>
            <w:tcW w:w="329" w:type="pct"/>
            <w:vMerge w:val="continue"/>
            <w:tcBorders>
              <w:left w:val="single" w:color="auto" w:sz="4" w:space="0"/>
            </w:tcBorders>
            <w:shd w:val="clear" w:color="auto" w:fill="FFFFFF"/>
            <w:vAlign w:val="center"/>
          </w:tcPr>
          <w:p w14:paraId="6F8A383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000000" w:themeColor="text1"/>
                <w14:textFill>
                  <w14:solidFill>
                    <w14:schemeClr w14:val="tx1"/>
                  </w14:solidFill>
                </w14:textFill>
              </w:rPr>
            </w:pPr>
          </w:p>
        </w:tc>
        <w:tc>
          <w:tcPr>
            <w:tcW w:w="348"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000000" w:themeColor="text1"/>
                <w14:textFill>
                  <w14:solidFill>
                    <w14:schemeClr w14:val="tx1"/>
                  </w14:solidFill>
                </w14:textFill>
              </w:rPr>
            </w:pPr>
          </w:p>
        </w:tc>
        <w:tc>
          <w:tcPr>
            <w:tcW w:w="329" w:type="pct"/>
            <w:tcBorders>
              <w:top w:val="single" w:color="auto" w:sz="4" w:space="0"/>
              <w:left w:val="single" w:color="auto" w:sz="4" w:space="0"/>
            </w:tcBorders>
            <w:shd w:val="clear" w:color="auto" w:fill="FFFFFF"/>
            <w:vAlign w:val="center"/>
          </w:tcPr>
          <w:p w14:paraId="689673B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结果 维持</w:t>
            </w:r>
          </w:p>
        </w:tc>
        <w:tc>
          <w:tcPr>
            <w:tcW w:w="329" w:type="pct"/>
            <w:tcBorders>
              <w:top w:val="single" w:color="auto" w:sz="4" w:space="0"/>
              <w:left w:val="single" w:color="auto" w:sz="4" w:space="0"/>
            </w:tcBorders>
            <w:shd w:val="clear" w:color="auto" w:fill="FFFFFF"/>
            <w:vAlign w:val="center"/>
          </w:tcPr>
          <w:p w14:paraId="23CE70F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结果 纠正</w:t>
            </w:r>
          </w:p>
        </w:tc>
        <w:tc>
          <w:tcPr>
            <w:tcW w:w="329" w:type="pct"/>
            <w:tcBorders>
              <w:top w:val="single" w:color="auto" w:sz="4" w:space="0"/>
              <w:left w:val="single" w:color="auto" w:sz="4" w:space="0"/>
            </w:tcBorders>
            <w:shd w:val="clear" w:color="auto" w:fill="FFFFFF"/>
            <w:vAlign w:val="center"/>
          </w:tcPr>
          <w:p w14:paraId="7A49F8F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其他 结果</w:t>
            </w:r>
          </w:p>
        </w:tc>
        <w:tc>
          <w:tcPr>
            <w:tcW w:w="329" w:type="pct"/>
            <w:tcBorders>
              <w:top w:val="single" w:color="auto" w:sz="4" w:space="0"/>
              <w:left w:val="single" w:color="auto" w:sz="4" w:space="0"/>
            </w:tcBorders>
            <w:shd w:val="clear" w:color="auto" w:fill="FFFFFF"/>
            <w:vAlign w:val="center"/>
          </w:tcPr>
          <w:p w14:paraId="14A68D9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尚未 审结</w:t>
            </w:r>
          </w:p>
        </w:tc>
        <w:tc>
          <w:tcPr>
            <w:tcW w:w="351" w:type="pct"/>
            <w:tcBorders>
              <w:top w:val="single" w:color="auto" w:sz="4" w:space="0"/>
              <w:left w:val="single" w:color="auto" w:sz="4" w:space="0"/>
            </w:tcBorders>
            <w:shd w:val="clear" w:color="auto" w:fill="FFFFFF"/>
            <w:textDirection w:val="tbRlV"/>
          </w:tcPr>
          <w:p w14:paraId="0FA551A1">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总计</w:t>
            </w:r>
          </w:p>
        </w:tc>
        <w:tc>
          <w:tcPr>
            <w:tcW w:w="329" w:type="pct"/>
            <w:tcBorders>
              <w:top w:val="single" w:color="auto" w:sz="4" w:space="0"/>
              <w:left w:val="single" w:color="auto" w:sz="4" w:space="0"/>
            </w:tcBorders>
            <w:shd w:val="clear" w:color="auto" w:fill="FFFFFF"/>
            <w:vAlign w:val="center"/>
          </w:tcPr>
          <w:p w14:paraId="1F1989D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结果 维持</w:t>
            </w:r>
          </w:p>
        </w:tc>
        <w:tc>
          <w:tcPr>
            <w:tcW w:w="329" w:type="pct"/>
            <w:tcBorders>
              <w:top w:val="single" w:color="auto" w:sz="4" w:space="0"/>
              <w:left w:val="single" w:color="auto" w:sz="4" w:space="0"/>
            </w:tcBorders>
            <w:shd w:val="clear" w:color="auto" w:fill="FFFFFF"/>
            <w:vAlign w:val="center"/>
          </w:tcPr>
          <w:p w14:paraId="287E52C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结果 纠正</w:t>
            </w:r>
          </w:p>
        </w:tc>
        <w:tc>
          <w:tcPr>
            <w:tcW w:w="329" w:type="pct"/>
            <w:tcBorders>
              <w:top w:val="single" w:color="auto" w:sz="4" w:space="0"/>
              <w:left w:val="single" w:color="auto" w:sz="4" w:space="0"/>
            </w:tcBorders>
            <w:shd w:val="clear" w:color="auto" w:fill="FFFFFF"/>
            <w:vAlign w:val="center"/>
          </w:tcPr>
          <w:p w14:paraId="09AA38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其他 结果</w:t>
            </w:r>
          </w:p>
        </w:tc>
        <w:tc>
          <w:tcPr>
            <w:tcW w:w="329" w:type="pct"/>
            <w:tcBorders>
              <w:top w:val="single" w:color="auto" w:sz="4" w:space="0"/>
              <w:left w:val="single" w:color="auto" w:sz="4" w:space="0"/>
            </w:tcBorders>
            <w:shd w:val="clear" w:color="auto" w:fill="FFFFFF"/>
            <w:vAlign w:val="center"/>
          </w:tcPr>
          <w:p w14:paraId="093F23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686EBE15">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总计</w:t>
            </w:r>
          </w:p>
        </w:tc>
      </w:tr>
      <w:tr w14:paraId="0F4D19FC">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FFFFFF"/>
            <w:vAlign w:val="center"/>
          </w:tcPr>
          <w:p w14:paraId="39865DB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39F69AD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46CA373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23A7FFB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48" w:type="pct"/>
            <w:tcBorders>
              <w:top w:val="single" w:color="auto" w:sz="4" w:space="0"/>
              <w:left w:val="single" w:color="auto" w:sz="4" w:space="0"/>
              <w:bottom w:val="single" w:color="auto" w:sz="4" w:space="0"/>
            </w:tcBorders>
            <w:shd w:val="clear" w:color="auto" w:fill="FFFFFF"/>
            <w:vAlign w:val="center"/>
          </w:tcPr>
          <w:p w14:paraId="717CE3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45F2F1A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6D710E3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2ECF3C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430D2D9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51" w:type="pct"/>
            <w:tcBorders>
              <w:top w:val="single" w:color="auto" w:sz="4" w:space="0"/>
              <w:left w:val="single" w:color="auto" w:sz="4" w:space="0"/>
              <w:bottom w:val="single" w:color="auto" w:sz="4" w:space="0"/>
            </w:tcBorders>
            <w:shd w:val="clear" w:color="auto" w:fill="FFFFFF"/>
            <w:vAlign w:val="center"/>
          </w:tcPr>
          <w:p w14:paraId="11DC0B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7EEAAEB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47C9506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0D4D793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03F4DDF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eastAsia="宋体" w:cs="Times New Roman"/>
                <w:color w:val="000000" w:themeColor="text1"/>
                <w:sz w:val="28"/>
                <w:szCs w:val="28"/>
                <w:lang w:val="en-US" w:eastAsia="zh-CN"/>
                <w14:textFill>
                  <w14:solidFill>
                    <w14:schemeClr w14:val="tx1"/>
                  </w14:solidFill>
                </w14:textFill>
              </w:rPr>
              <w:t>0</w:t>
            </w:r>
          </w:p>
        </w:tc>
      </w:tr>
    </w:tbl>
    <w:p w14:paraId="518B3B7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lang w:eastAsia="zh-CN" w:bidi="ar-SA"/>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bidi="ar-SA"/>
          <w14:textFill>
            <w14:solidFill>
              <w14:schemeClr w14:val="tx1"/>
            </w14:solidFill>
          </w14:textFill>
        </w:rPr>
        <w:t>五、</w:t>
      </w:r>
      <w:r>
        <w:rPr>
          <w:rFonts w:hint="default" w:ascii="Times New Roman" w:hAnsi="Times New Roman" w:eastAsia="黑体" w:cs="Times New Roman"/>
          <w:color w:val="000000" w:themeColor="text1"/>
          <w:sz w:val="32"/>
          <w:szCs w:val="32"/>
          <w:lang w:eastAsia="zh-CN" w:bidi="ar-SA"/>
          <w14:textFill>
            <w14:solidFill>
              <w14:schemeClr w14:val="tx1"/>
            </w14:solidFill>
          </w14:textFill>
        </w:rPr>
        <w:t>存在的主要问题及改进情况</w:t>
      </w:r>
    </w:p>
    <w:p w14:paraId="4D58EE4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黑体"/>
          <w:color w:val="000000" w:themeColor="text1"/>
          <w:sz w:val="32"/>
          <w:szCs w:val="32"/>
          <w:lang w:val="en-US" w:eastAsia="zh-CN" w:bidi="ar-SA"/>
          <w14:textFill>
            <w14:solidFill>
              <w14:schemeClr w14:val="tx1"/>
            </w14:solidFill>
          </w14:textFill>
        </w:rPr>
      </w:pPr>
      <w:r>
        <w:rPr>
          <w:rFonts w:hint="eastAsia" w:eastAsia="黑体"/>
          <w:color w:val="000000" w:themeColor="text1"/>
          <w:sz w:val="32"/>
          <w:szCs w:val="32"/>
          <w:lang w:val="en-US" w:eastAsia="zh-CN" w:bidi="ar-SA"/>
          <w14:textFill>
            <w14:solidFill>
              <w14:schemeClr w14:val="tx1"/>
            </w14:solidFill>
          </w14:textFill>
        </w:rPr>
        <w:t>（一）2024年存在问题整改情况</w:t>
      </w:r>
    </w:p>
    <w:p w14:paraId="23991DC2">
      <w:pPr>
        <w:keepNext w:val="0"/>
        <w:keepLines w:val="0"/>
        <w:widowControl/>
        <w:suppressLineNumbers w:val="0"/>
        <w:shd w:val="clear" w:fill="FFFFFF"/>
        <w:spacing w:before="0" w:beforeAutospacing="0" w:after="0" w:afterAutospacing="0" w:line="580" w:lineRule="atLeast"/>
        <w:ind w:left="0" w:right="0" w:firstLine="640"/>
        <w:jc w:val="left"/>
        <w:rPr>
          <w:rFonts w:hint="default" w:ascii="Times New Roman" w:hAnsi="Times New Roman" w:cs="Times New Roman"/>
          <w:i w:val="0"/>
          <w:iCs w:val="0"/>
          <w:caps w:val="0"/>
          <w:color w:val="000000" w:themeColor="text1"/>
          <w:spacing w:val="0"/>
          <w:sz w:val="27"/>
          <w:szCs w:val="27"/>
          <w14:textFill>
            <w14:solidFill>
              <w14:schemeClr w14:val="tx1"/>
            </w14:solidFill>
          </w14:textFill>
        </w:rPr>
      </w:pPr>
      <w:r>
        <w:rPr>
          <w:rFonts w:ascii="仿宋_GB2312"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202</w:t>
      </w:r>
      <w:r>
        <w:rPr>
          <w:rFonts w:hint="eastAsia" w:asci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4</w:t>
      </w:r>
      <w:r>
        <w:rPr>
          <w:rFonts w:hint="eastAsia" w:ascii="仿宋_GB2312"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年，我镇政府信息公开工作取得了新的成效，但仍然存在一些问题和不足，主要表现在：在主动公开政府信息内容的全面性和时效性、规范性和实用性等方面还存在一些差距。下一步，我们将根据政府信息公开相关规章制度的要求，着力做好政府信息公开工作。</w:t>
      </w:r>
    </w:p>
    <w:p w14:paraId="6755CE6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黑体"/>
          <w:color w:val="000000" w:themeColor="text1"/>
          <w:sz w:val="32"/>
          <w:szCs w:val="32"/>
          <w:lang w:val="en-US" w:eastAsia="zh-CN" w:bidi="ar-SA"/>
          <w14:textFill>
            <w14:solidFill>
              <w14:schemeClr w14:val="tx1"/>
            </w14:solidFill>
          </w14:textFill>
        </w:rPr>
      </w:pPr>
      <w:r>
        <w:rPr>
          <w:rFonts w:hint="eastAsia" w:eastAsia="黑体"/>
          <w:color w:val="000000" w:themeColor="text1"/>
          <w:sz w:val="32"/>
          <w:szCs w:val="32"/>
          <w:lang w:val="en-US" w:eastAsia="zh-CN" w:bidi="ar-SA"/>
          <w14:textFill>
            <w14:solidFill>
              <w14:schemeClr w14:val="tx1"/>
            </w14:solidFill>
          </w14:textFill>
        </w:rPr>
        <w:t>（二）2025年存在问题</w:t>
      </w:r>
    </w:p>
    <w:p w14:paraId="1C3A7E1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黑体"/>
          <w:color w:val="000000" w:themeColor="text1"/>
          <w:sz w:val="32"/>
          <w:szCs w:val="32"/>
          <w:lang w:val="en-US" w:eastAsia="zh-CN" w:bidi="ar-SA"/>
          <w14:textFill>
            <w14:solidFill>
              <w14:schemeClr w14:val="tx1"/>
            </w14:solidFill>
          </w14:textFill>
        </w:rPr>
      </w:pPr>
      <w:r>
        <w:rPr>
          <w:rFonts w:hint="eastAsia" w:ascii="仿宋_GB2312"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在主动公开政府信息的内容完整性、发布及时性、流程规范性及服务实用性等方面，仍有进一步提升空间。</w:t>
      </w:r>
    </w:p>
    <w:p w14:paraId="2D015717">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000000" w:themeColor="text1"/>
          <w:sz w:val="32"/>
          <w:szCs w:val="32"/>
          <w:lang w:eastAsia="zh-CN" w:bidi="ar-SA"/>
          <w14:textFill>
            <w14:solidFill>
              <w14:schemeClr w14:val="tx1"/>
            </w14:solidFill>
          </w14:textFill>
        </w:rPr>
      </w:pPr>
      <w:r>
        <w:rPr>
          <w:rFonts w:hint="eastAsia" w:eastAsia="黑体"/>
          <w:color w:val="000000" w:themeColor="text1"/>
          <w:sz w:val="32"/>
          <w:szCs w:val="32"/>
          <w:lang w:val="en-US" w:eastAsia="zh-CN" w:bidi="ar-SA"/>
          <w14:textFill>
            <w14:solidFill>
              <w14:schemeClr w14:val="tx1"/>
            </w14:solidFill>
          </w14:textFill>
        </w:rPr>
        <w:t>改进措施</w:t>
      </w:r>
    </w:p>
    <w:p w14:paraId="41C1BA21">
      <w:pPr>
        <w:keepNext w:val="0"/>
        <w:keepLines w:val="0"/>
        <w:widowControl/>
        <w:suppressLineNumbers w:val="0"/>
        <w:shd w:val="clear" w:fill="FFFFFF"/>
        <w:spacing w:before="0" w:beforeAutospacing="0" w:after="0" w:afterAutospacing="0" w:line="580" w:lineRule="atLeast"/>
        <w:ind w:left="0" w:right="0" w:firstLine="640"/>
        <w:jc w:val="left"/>
        <w:rPr>
          <w:rFonts w:hint="default" w:ascii="Times New Roman" w:hAnsi="Times New Roman" w:cs="Times New Roman"/>
          <w:i w:val="0"/>
          <w:iCs w:val="0"/>
          <w:caps w:val="0"/>
          <w:color w:val="000000" w:themeColor="text1"/>
          <w:spacing w:val="0"/>
          <w:sz w:val="27"/>
          <w:szCs w:val="27"/>
          <w14:textFill>
            <w14:solidFill>
              <w14:schemeClr w14:val="tx1"/>
            </w14:solidFill>
          </w14:textFill>
        </w:rPr>
      </w:pPr>
      <w:r>
        <w:rPr>
          <w:rFonts w:hint="eastAsia" w:asci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1.</w:t>
      </w:r>
      <w:r>
        <w:rPr>
          <w:rFonts w:hint="eastAsia" w:ascii="仿宋_GB2312"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加强队伍建设，进一步提升信息公开水平。及时调整充实镇政府信息公开领导小组成员，加强人员培训，提高工作效率，对政务公开工作人员进行专职培训，确保政务公开工作的时效性。</w:t>
      </w:r>
    </w:p>
    <w:p w14:paraId="51AEBD5C">
      <w:pPr>
        <w:keepNext w:val="0"/>
        <w:keepLines w:val="0"/>
        <w:widowControl/>
        <w:suppressLineNumbers w:val="0"/>
        <w:shd w:val="clear" w:fill="FFFFFF"/>
        <w:spacing w:before="0" w:beforeAutospacing="0" w:after="0" w:afterAutospacing="0" w:line="580" w:lineRule="atLeast"/>
        <w:ind w:left="0" w:right="0" w:firstLine="640"/>
        <w:jc w:val="left"/>
        <w:rPr>
          <w:rFonts w:hint="default" w:ascii="Times New Roman" w:hAnsi="Times New Roman" w:cs="Times New Roman"/>
          <w:i w:val="0"/>
          <w:iCs w:val="0"/>
          <w:caps w:val="0"/>
          <w:color w:val="000000" w:themeColor="text1"/>
          <w:spacing w:val="0"/>
          <w:sz w:val="27"/>
          <w:szCs w:val="27"/>
          <w14:textFill>
            <w14:solidFill>
              <w14:schemeClr w14:val="tx1"/>
            </w14:solidFill>
          </w14:textFill>
        </w:rPr>
      </w:pPr>
      <w:r>
        <w:rPr>
          <w:rFonts w:hint="eastAsia" w:asci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2.</w:t>
      </w:r>
      <w:r>
        <w:rPr>
          <w:rFonts w:hint="eastAsia" w:ascii="仿宋_GB2312"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突破难点重点，深化公开内容。充分发挥政务公开的监察作用，加快信息服务与投诉处理功能，提高公开水平。</w:t>
      </w:r>
    </w:p>
    <w:p w14:paraId="6D605805">
      <w:pPr>
        <w:keepNext w:val="0"/>
        <w:keepLines w:val="0"/>
        <w:widowControl/>
        <w:suppressLineNumbers w:val="0"/>
        <w:shd w:val="clear" w:fill="FFFFFF"/>
        <w:spacing w:before="0" w:beforeAutospacing="0" w:after="0" w:afterAutospacing="0" w:line="580" w:lineRule="atLeast"/>
        <w:ind w:left="0" w:right="0" w:firstLine="640"/>
        <w:jc w:val="left"/>
        <w:rPr>
          <w:rFonts w:hint="eastAsia" w:ascii="仿宋_GB2312" w:hAnsi="仿宋_GB2312" w:eastAsia="仿宋_GB2312" w:cs="仿宋_GB2312"/>
          <w:b/>
          <w:bCs/>
          <w:color w:val="000000" w:themeColor="text1"/>
          <w:sz w:val="32"/>
          <w:szCs w:val="32"/>
          <w:lang w:eastAsia="zh-CN" w:bidi="ar-SA"/>
          <w14:textFill>
            <w14:solidFill>
              <w14:schemeClr w14:val="tx1"/>
            </w14:solidFill>
          </w14:textFill>
        </w:rPr>
      </w:pPr>
      <w:r>
        <w:rPr>
          <w:rFonts w:hint="eastAsia" w:asci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eastAsia" w:ascii="仿宋_GB2312"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强化监督考核，注重公开实效。明确信息公开工作责任，加强监督考核，建立健全责任追究制度和社会评议制度。对各村居、各部门信息公开实行实时督查，督促及时更新政务信息，不断提高公开质量和实效。</w:t>
      </w:r>
    </w:p>
    <w:p w14:paraId="2C5F9E7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textAlignment w:val="auto"/>
        <w:rPr>
          <w:rFonts w:hint="eastAsia" w:eastAsia="黑体"/>
          <w:color w:val="000000" w:themeColor="text1"/>
          <w:sz w:val="32"/>
          <w:szCs w:val="32"/>
          <w:lang w:eastAsia="zh-CN" w:bidi="zh-TW"/>
          <w14:textFill>
            <w14:solidFill>
              <w14:schemeClr w14:val="tx1"/>
            </w14:solidFill>
          </w14:textFill>
        </w:rPr>
      </w:pPr>
      <w:r>
        <w:rPr>
          <w:rFonts w:hint="eastAsia" w:eastAsia="黑体"/>
          <w:color w:val="000000" w:themeColor="text1"/>
          <w:sz w:val="32"/>
          <w:szCs w:val="32"/>
          <w:lang w:val="en-US" w:eastAsia="zh-CN" w:bidi="zh-TW"/>
          <w14:textFill>
            <w14:solidFill>
              <w14:schemeClr w14:val="tx1"/>
            </w14:solidFill>
          </w14:textFill>
        </w:rPr>
        <w:t>六、</w:t>
      </w:r>
      <w:r>
        <w:rPr>
          <w:rFonts w:eastAsia="黑体"/>
          <w:color w:val="000000" w:themeColor="text1"/>
          <w:sz w:val="32"/>
          <w:szCs w:val="32"/>
          <w:lang w:eastAsia="zh-CN" w:bidi="zh-TW"/>
          <w14:textFill>
            <w14:solidFill>
              <w14:schemeClr w14:val="tx1"/>
            </w14:solidFill>
          </w14:textFill>
        </w:rPr>
        <w:t>其他需要报告的事项</w:t>
      </w:r>
    </w:p>
    <w:p w14:paraId="08221FC8">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ascii="Times New Roman" w:hAnsi="Times New Roman" w:eastAsia="黑体" w:cs="Times New Roman"/>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color="auto" w:fill="FFFFFF"/>
          <w:lang w:val="en-US" w:eastAsia="zh-CN"/>
          <w14:textFill>
            <w14:solidFill>
              <w14:schemeClr w14:val="tx1"/>
            </w14:solidFill>
          </w14:textFill>
        </w:rPr>
        <w:t>（一）收取信息处理费的情况</w:t>
      </w:r>
    </w:p>
    <w:p w14:paraId="36E39CA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_GB2312"/>
          <w:color w:val="000000" w:themeColor="text1"/>
          <w:sz w:val="32"/>
          <w:szCs w:val="32"/>
          <w:lang w:eastAsia="zh-CN"/>
          <w14:textFill>
            <w14:solidFill>
              <w14:schemeClr w14:val="tx1"/>
            </w14:solidFill>
          </w14:textFill>
        </w:rPr>
      </w:pPr>
      <w:r>
        <w:rPr>
          <w:rFonts w:ascii="仿宋_GB2312" w:hAnsi="宋体" w:eastAsia="仿宋_GB2312" w:cs="仿宋_GB2312"/>
          <w:i w:val="0"/>
          <w:iCs w:val="0"/>
          <w:caps w:val="0"/>
          <w:color w:val="000000" w:themeColor="text1"/>
          <w:spacing w:val="0"/>
          <w:sz w:val="32"/>
          <w:szCs w:val="32"/>
          <w:shd w:val="clear" w:fill="FFFFFF"/>
          <w14:textFill>
            <w14:solidFill>
              <w14:schemeClr w14:val="tx1"/>
            </w14:solidFill>
          </w14:textFill>
        </w:rPr>
        <w:t>本年度依申请公开政府信息未收取任何费用。</w:t>
      </w:r>
    </w:p>
    <w:p w14:paraId="2BFFF570">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eastAsia="仿宋_GB2312"/>
          <w:b/>
          <w:bCs/>
          <w:color w:val="000000" w:themeColor="text1"/>
          <w:sz w:val="32"/>
          <w:szCs w:val="32"/>
          <w:lang w:val="en-US" w:eastAsia="zh-CN"/>
          <w14:textFill>
            <w14:solidFill>
              <w14:schemeClr w14:val="tx1"/>
            </w14:solidFill>
          </w14:textFill>
        </w:rPr>
      </w:pPr>
      <w:r>
        <w:rPr>
          <w:rFonts w:hint="eastAsia" w:eastAsia="仿宋_GB2312"/>
          <w:b/>
          <w:bCs/>
          <w:color w:val="000000" w:themeColor="text1"/>
          <w:sz w:val="32"/>
          <w:szCs w:val="32"/>
          <w:lang w:val="en-US" w:eastAsia="zh-CN"/>
          <w14:textFill>
            <w14:solidFill>
              <w14:schemeClr w14:val="tx1"/>
            </w14:solidFill>
          </w14:textFill>
        </w:rPr>
        <w:t>（二）落实上级年度政务公开工作要点情况</w:t>
      </w:r>
    </w:p>
    <w:p w14:paraId="15A0203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无。</w:t>
      </w:r>
    </w:p>
    <w:p w14:paraId="4F168A01">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eastAsia="仿宋_GB2312"/>
          <w:b/>
          <w:bCs/>
          <w:color w:val="000000" w:themeColor="text1"/>
          <w:sz w:val="32"/>
          <w:szCs w:val="32"/>
          <w:lang w:val="en-US" w:eastAsia="zh-CN"/>
          <w14:textFill>
            <w14:solidFill>
              <w14:schemeClr w14:val="tx1"/>
            </w14:solidFill>
          </w14:textFill>
        </w:rPr>
      </w:pPr>
      <w:r>
        <w:rPr>
          <w:rFonts w:hint="eastAsia" w:eastAsia="仿宋_GB2312"/>
          <w:b/>
          <w:bCs/>
          <w:color w:val="000000" w:themeColor="text1"/>
          <w:sz w:val="32"/>
          <w:szCs w:val="32"/>
          <w:lang w:val="en-US" w:eastAsia="zh-CN"/>
          <w14:textFill>
            <w14:solidFill>
              <w14:schemeClr w14:val="tx1"/>
            </w14:solidFill>
          </w14:textFill>
        </w:rPr>
        <w:t>（三）人大代表建议和政协委员提案办理情况</w:t>
      </w:r>
    </w:p>
    <w:p w14:paraId="43293D0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仿宋_GB2312"/>
          <w:b/>
          <w:bCs/>
          <w:color w:val="000000" w:themeColor="text1"/>
          <w:sz w:val="32"/>
          <w:szCs w:val="32"/>
          <w:lang w:val="en-US" w:eastAsia="zh-CN"/>
          <w14:textFill>
            <w14:solidFill>
              <w14:schemeClr w14:val="tx1"/>
            </w14:solidFill>
          </w14:textFill>
        </w:rPr>
      </w:pPr>
      <w:r>
        <w:rPr>
          <w:rFonts w:ascii="仿宋_GB2312" w:hAnsi="宋体" w:eastAsia="仿宋_GB2312" w:cs="仿宋_GB2312"/>
          <w:i w:val="0"/>
          <w:iCs w:val="0"/>
          <w:caps w:val="0"/>
          <w:color w:val="000000" w:themeColor="text1"/>
          <w:spacing w:val="0"/>
          <w:sz w:val="32"/>
          <w:szCs w:val="32"/>
          <w:shd w:val="clear" w:fill="FFFFFF"/>
          <w14:textFill>
            <w14:solidFill>
              <w14:schemeClr w14:val="tx1"/>
            </w14:solidFill>
          </w14:textFill>
        </w:rPr>
        <w:t>202</w:t>
      </w:r>
      <w:r>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w:t>
      </w:r>
      <w:r>
        <w:rPr>
          <w:rFonts w:ascii="仿宋_GB2312" w:hAnsi="宋体" w:eastAsia="仿宋_GB2312" w:cs="仿宋_GB2312"/>
          <w:i w:val="0"/>
          <w:iCs w:val="0"/>
          <w:caps w:val="0"/>
          <w:color w:val="000000" w:themeColor="text1"/>
          <w:spacing w:val="0"/>
          <w:sz w:val="32"/>
          <w:szCs w:val="32"/>
          <w:shd w:val="clear" w:fill="FFFFFF"/>
          <w14:textFill>
            <w14:solidFill>
              <w14:schemeClr w14:val="tx1"/>
            </w14:solidFill>
          </w14:textFill>
        </w:rPr>
        <w:t>年，永安镇人民政府</w:t>
      </w:r>
      <w:r>
        <w:rPr>
          <w:rFonts w:hint="eastAsia" w:ascii="仿宋_GB2312" w:hAnsi="宋体" w:eastAsia="仿宋_GB2312" w:cs="仿宋_GB2312"/>
          <w:i w:val="0"/>
          <w:iCs w:val="0"/>
          <w:caps w:val="0"/>
          <w:color w:val="000000" w:themeColor="text1"/>
          <w:spacing w:val="0"/>
          <w:sz w:val="32"/>
          <w:szCs w:val="32"/>
          <w:shd w:val="clear" w:fill="FFFFFF"/>
          <w14:textFill>
            <w14:solidFill>
              <w14:schemeClr w14:val="tx1"/>
            </w14:solidFill>
          </w14:textFill>
        </w:rPr>
        <w:t>共承办区级人大代表建议</w:t>
      </w:r>
      <w:r>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10</w:t>
      </w:r>
      <w:r>
        <w:rPr>
          <w:rFonts w:hint="eastAsia" w:ascii="仿宋_GB2312" w:hAnsi="宋体" w:eastAsia="仿宋_GB2312" w:cs="仿宋_GB2312"/>
          <w:i w:val="0"/>
          <w:iCs w:val="0"/>
          <w:caps w:val="0"/>
          <w:color w:val="000000" w:themeColor="text1"/>
          <w:spacing w:val="0"/>
          <w:sz w:val="32"/>
          <w:szCs w:val="32"/>
          <w:shd w:val="clear" w:fill="FFFFFF"/>
          <w14:textFill>
            <w14:solidFill>
              <w14:schemeClr w14:val="tx1"/>
            </w14:solidFill>
          </w14:textFill>
        </w:rPr>
        <w:t>件，办复率100%；承办区政协委员提案</w:t>
      </w:r>
      <w:r>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34</w:t>
      </w:r>
      <w:r>
        <w:rPr>
          <w:rFonts w:hint="eastAsia" w:ascii="仿宋_GB2312" w:hAnsi="宋体" w:eastAsia="仿宋_GB2312" w:cs="仿宋_GB2312"/>
          <w:i w:val="0"/>
          <w:iCs w:val="0"/>
          <w:caps w:val="0"/>
          <w:color w:val="000000" w:themeColor="text1"/>
          <w:spacing w:val="0"/>
          <w:sz w:val="32"/>
          <w:szCs w:val="32"/>
          <w:shd w:val="clear" w:fill="FFFFFF"/>
          <w14:textFill>
            <w14:solidFill>
              <w14:schemeClr w14:val="tx1"/>
            </w14:solidFill>
          </w14:textFill>
        </w:rPr>
        <w:t>件，办复率100%。</w:t>
      </w:r>
    </w:p>
    <w:p w14:paraId="606FAC89">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3" w:firstLineChars="200"/>
        <w:contextualSpacing/>
        <w:textAlignment w:val="auto"/>
        <w:rPr>
          <w:rFonts w:hint="eastAsia" w:eastAsia="仿宋_GB2312"/>
          <w:b/>
          <w:bCs/>
          <w:color w:val="000000" w:themeColor="text1"/>
          <w:sz w:val="32"/>
          <w:szCs w:val="32"/>
          <w:shd w:val="clear" w:color="auto" w:fill="FFFFFF"/>
          <w:lang w:val="en-US" w:eastAsia="zh-CN"/>
          <w14:textFill>
            <w14:solidFill>
              <w14:schemeClr w14:val="tx1"/>
            </w14:solidFill>
          </w14:textFill>
        </w:rPr>
      </w:pPr>
      <w:r>
        <w:rPr>
          <w:rFonts w:hint="eastAsia" w:eastAsia="仿宋_GB2312"/>
          <w:b/>
          <w:bCs/>
          <w:color w:val="000000" w:themeColor="text1"/>
          <w:sz w:val="32"/>
          <w:szCs w:val="32"/>
          <w:shd w:val="clear" w:color="auto" w:fill="FFFFFF"/>
          <w:lang w:val="en-US" w:eastAsia="zh-CN"/>
          <w14:textFill>
            <w14:solidFill>
              <w14:schemeClr w14:val="tx1"/>
            </w14:solidFill>
          </w14:textFill>
        </w:rPr>
        <w:t>本行政机关年度政务公开工作创新情况</w:t>
      </w:r>
    </w:p>
    <w:p w14:paraId="5FA5AB5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仿宋_GB2312"/>
          <w:b/>
          <w:bCs/>
          <w:color w:val="000000" w:themeColor="text1"/>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无。</w:t>
      </w:r>
    </w:p>
    <w:p w14:paraId="0552C2B4">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3" w:firstLineChars="200"/>
        <w:contextualSpacing/>
        <w:textAlignment w:val="auto"/>
        <w:rPr>
          <w:rFonts w:hint="eastAsia" w:eastAsia="仿宋_GB2312"/>
          <w:b/>
          <w:bCs/>
          <w:color w:val="000000" w:themeColor="text1"/>
          <w:sz w:val="32"/>
          <w:szCs w:val="32"/>
          <w:shd w:val="clear" w:color="auto" w:fill="FFFFFF"/>
          <w:lang w:val="en-US" w:eastAsia="zh-CN"/>
          <w14:textFill>
            <w14:solidFill>
              <w14:schemeClr w14:val="tx1"/>
            </w14:solidFill>
          </w14:textFill>
        </w:rPr>
      </w:pPr>
      <w:r>
        <w:rPr>
          <w:rFonts w:hint="eastAsia" w:eastAsia="仿宋_GB2312"/>
          <w:b/>
          <w:bCs/>
          <w:color w:val="000000" w:themeColor="text1"/>
          <w:sz w:val="32"/>
          <w:szCs w:val="32"/>
          <w:shd w:val="clear" w:color="auto" w:fill="FFFFFF"/>
          <w:lang w:val="en-US" w:eastAsia="zh-CN"/>
          <w14:textFill>
            <w14:solidFill>
              <w14:schemeClr w14:val="tx1"/>
            </w14:solidFill>
          </w14:textFill>
        </w:rPr>
        <w:t>其他需要报告事项</w:t>
      </w:r>
    </w:p>
    <w:p w14:paraId="75EFE25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仿宋_GB2312"/>
          <w:b/>
          <w:bCs/>
          <w:color w:val="000000" w:themeColor="text1"/>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无。</w:t>
      </w:r>
    </w:p>
    <w:p w14:paraId="32EEE41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eastAsia" w:eastAsia="仿宋_GB2312"/>
          <w:b/>
          <w:bCs/>
          <w:color w:val="000000" w:themeColor="text1"/>
          <w:sz w:val="32"/>
          <w:szCs w:val="32"/>
          <w:shd w:val="clear" w:color="auto" w:fill="FFFFFF"/>
          <w:lang w:val="en-US" w:eastAsia="zh-CN"/>
          <w14:textFill>
            <w14:solidFill>
              <w14:schemeClr w14:val="tx1"/>
            </w14:solidFill>
          </w14:textFill>
        </w:rPr>
      </w:pPr>
      <w:bookmarkStart w:id="9" w:name="_GoBack"/>
      <w:r>
        <w:rPr>
          <w:rFonts w:eastAsia="仿宋_GB2312"/>
          <w:color w:val="000000" w:themeColor="text1"/>
          <w:sz w:val="32"/>
          <w:szCs w:val="32"/>
          <w:shd w:val="clear" w:color="auto" w:fill="FFFFFF"/>
          <w:lang w:eastAsia="zh-CN"/>
          <w14:textFill>
            <w14:solidFill>
              <w14:schemeClr w14:val="tx1"/>
            </w14:solidFill>
          </w14:textFill>
        </w:rPr>
        <w:t>本报告所列数据的统计时限自202</w:t>
      </w:r>
      <w:r>
        <w:rPr>
          <w:rFonts w:hint="eastAsia" w:eastAsia="仿宋_GB2312"/>
          <w:color w:val="000000" w:themeColor="text1"/>
          <w:sz w:val="32"/>
          <w:szCs w:val="32"/>
          <w:shd w:val="clear" w:color="auto" w:fill="FFFFFF"/>
          <w:lang w:val="en-US" w:eastAsia="zh-CN"/>
          <w14:textFill>
            <w14:solidFill>
              <w14:schemeClr w14:val="tx1"/>
            </w14:solidFill>
          </w14:textFill>
        </w:rPr>
        <w:t>5</w:t>
      </w:r>
      <w:r>
        <w:rPr>
          <w:rFonts w:eastAsia="仿宋_GB2312"/>
          <w:color w:val="000000" w:themeColor="text1"/>
          <w:sz w:val="32"/>
          <w:szCs w:val="32"/>
          <w:shd w:val="clear" w:color="auto" w:fill="FFFFFF"/>
          <w:lang w:eastAsia="zh-CN"/>
          <w14:textFill>
            <w14:solidFill>
              <w14:schemeClr w14:val="tx1"/>
            </w14:solidFill>
          </w14:textFill>
        </w:rPr>
        <w:t>年1月1日</w:t>
      </w:r>
      <w:r>
        <w:rPr>
          <w:rFonts w:hint="eastAsia" w:eastAsia="仿宋_GB2312"/>
          <w:color w:val="000000" w:themeColor="text1"/>
          <w:sz w:val="32"/>
          <w:szCs w:val="32"/>
          <w:shd w:val="clear" w:color="auto" w:fill="FFFFFF"/>
          <w:lang w:val="en-US" w:eastAsia="zh-CN"/>
          <w14:textFill>
            <w14:solidFill>
              <w14:schemeClr w14:val="tx1"/>
            </w14:solidFill>
          </w14:textFill>
        </w:rPr>
        <w:t>起</w:t>
      </w:r>
      <w:r>
        <w:rPr>
          <w:rFonts w:eastAsia="仿宋_GB2312"/>
          <w:color w:val="000000" w:themeColor="text1"/>
          <w:sz w:val="32"/>
          <w:szCs w:val="32"/>
          <w:shd w:val="clear" w:color="auto" w:fill="FFFFFF"/>
          <w:lang w:eastAsia="zh-CN"/>
          <w14:textFill>
            <w14:solidFill>
              <w14:schemeClr w14:val="tx1"/>
            </w14:solidFill>
          </w14:textFill>
        </w:rPr>
        <w:t>至202</w:t>
      </w:r>
      <w:r>
        <w:rPr>
          <w:rFonts w:hint="eastAsia" w:eastAsia="仿宋_GB2312"/>
          <w:color w:val="000000" w:themeColor="text1"/>
          <w:sz w:val="32"/>
          <w:szCs w:val="32"/>
          <w:shd w:val="clear" w:color="auto" w:fill="FFFFFF"/>
          <w:lang w:val="en-US" w:eastAsia="zh-CN"/>
          <w14:textFill>
            <w14:solidFill>
              <w14:schemeClr w14:val="tx1"/>
            </w14:solidFill>
          </w14:textFill>
        </w:rPr>
        <w:t>5</w:t>
      </w:r>
      <w:r>
        <w:rPr>
          <w:rFonts w:eastAsia="仿宋_GB2312"/>
          <w:color w:val="000000" w:themeColor="text1"/>
          <w:sz w:val="32"/>
          <w:szCs w:val="32"/>
          <w:shd w:val="clear" w:color="auto" w:fill="FFFFFF"/>
          <w:lang w:eastAsia="zh-CN"/>
          <w14:textFill>
            <w14:solidFill>
              <w14:schemeClr w14:val="tx1"/>
            </w14:solidFill>
          </w14:textFill>
        </w:rPr>
        <w:t>年12月31日</w:t>
      </w:r>
      <w:r>
        <w:rPr>
          <w:rFonts w:hint="eastAsia" w:eastAsia="仿宋_GB2312"/>
          <w:color w:val="000000" w:themeColor="text1"/>
          <w:sz w:val="32"/>
          <w:szCs w:val="32"/>
          <w:shd w:val="clear" w:color="auto" w:fill="FFFFFF"/>
          <w:lang w:val="en-US" w:eastAsia="zh-CN"/>
          <w14:textFill>
            <w14:solidFill>
              <w14:schemeClr w14:val="tx1"/>
            </w14:solidFill>
          </w14:textFill>
        </w:rPr>
        <w:t>止</w:t>
      </w:r>
      <w:r>
        <w:rPr>
          <w:rFonts w:eastAsia="仿宋_GB2312"/>
          <w:color w:val="000000" w:themeColor="text1"/>
          <w:sz w:val="32"/>
          <w:szCs w:val="32"/>
          <w:shd w:val="clear" w:color="auto" w:fill="FFFFFF"/>
          <w:lang w:eastAsia="zh-CN"/>
          <w14:textFill>
            <w14:solidFill>
              <w14:schemeClr w14:val="tx1"/>
            </w14:solidFill>
          </w14:textFill>
        </w:rPr>
        <w:t>。如对本报告有疑问，可与</w:t>
      </w:r>
      <w:r>
        <w:rPr>
          <w:rFonts w:hint="eastAsia" w:eastAsia="仿宋_GB2312"/>
          <w:color w:val="000000" w:themeColor="text1"/>
          <w:sz w:val="32"/>
          <w:szCs w:val="32"/>
          <w:shd w:val="clear" w:color="auto" w:fill="FFFFFF"/>
          <w:lang w:val="en-US" w:eastAsia="zh-CN"/>
          <w14:textFill>
            <w14:solidFill>
              <w14:schemeClr w14:val="tx1"/>
            </w14:solidFill>
          </w14:textFill>
        </w:rPr>
        <w:t>永安镇</w:t>
      </w:r>
      <w:r>
        <w:rPr>
          <w:rFonts w:eastAsia="仿宋_GB2312"/>
          <w:color w:val="000000" w:themeColor="text1"/>
          <w:sz w:val="32"/>
          <w:szCs w:val="32"/>
          <w:shd w:val="clear" w:color="auto" w:fill="FFFFFF"/>
          <w:lang w:eastAsia="zh-CN"/>
          <w14:textFill>
            <w14:solidFill>
              <w14:schemeClr w14:val="tx1"/>
            </w14:solidFill>
          </w14:textFill>
        </w:rPr>
        <w:t>联系（地址</w:t>
      </w:r>
      <w:r>
        <w:rPr>
          <w:rFonts w:hint="eastAsia" w:eastAsia="仿宋_GB2312"/>
          <w:color w:val="000000" w:themeColor="text1"/>
          <w:sz w:val="32"/>
          <w:szCs w:val="32"/>
          <w:shd w:val="clear" w:color="auto" w:fill="FFFFFF"/>
          <w:lang w:eastAsia="zh-CN"/>
          <w14:textFill>
            <w14:solidFill>
              <w14:schemeClr w14:val="tx1"/>
            </w14:solidFill>
          </w14:textFill>
        </w:rPr>
        <w:t>：</w:t>
      </w:r>
      <w:r>
        <w:rPr>
          <w:rFonts w:hint="eastAsia" w:eastAsia="仿宋_GB2312"/>
          <w:color w:val="000000" w:themeColor="text1"/>
          <w:sz w:val="32"/>
          <w:szCs w:val="32"/>
          <w:shd w:val="clear" w:color="auto" w:fill="FFFFFF"/>
          <w:lang w:val="en-US" w:eastAsia="zh-CN"/>
          <w14:textFill>
            <w14:solidFill>
              <w14:schemeClr w14:val="tx1"/>
            </w14:solidFill>
          </w14:textFill>
        </w:rPr>
        <w:t>枣庄市市中区</w:t>
      </w:r>
      <w:r>
        <w:rPr>
          <w:rFonts w:hint="eastAsia" w:eastAsia="仿宋_GB2312"/>
          <w:color w:val="000000" w:themeColor="text1"/>
          <w:sz w:val="32"/>
          <w:szCs w:val="32"/>
          <w:lang w:val="en-US" w:eastAsia="zh-CN"/>
          <w14:textFill>
            <w14:solidFill>
              <w14:schemeClr w14:val="tx1"/>
            </w14:solidFill>
          </w14:textFill>
        </w:rPr>
        <w:t>汇泉路81</w:t>
      </w:r>
      <w:r>
        <w:rPr>
          <w:rFonts w:hint="eastAsia" w:eastAsia="仿宋_GB2312"/>
          <w:color w:val="000000" w:themeColor="text1"/>
          <w:sz w:val="32"/>
          <w:szCs w:val="32"/>
          <w:shd w:val="clear" w:color="auto" w:fill="FFFFFF"/>
          <w:lang w:val="en-US" w:eastAsia="zh-CN"/>
          <w14:textFill>
            <w14:solidFill>
              <w14:schemeClr w14:val="tx1"/>
            </w14:solidFill>
          </w14:textFill>
        </w:rPr>
        <w:t>号</w:t>
      </w:r>
      <w:r>
        <w:rPr>
          <w:rFonts w:eastAsia="仿宋_GB2312"/>
          <w:color w:val="000000" w:themeColor="text1"/>
          <w:sz w:val="32"/>
          <w:szCs w:val="32"/>
          <w:shd w:val="clear" w:color="auto" w:fill="FFFFFF"/>
          <w:lang w:eastAsia="zh-CN"/>
          <w14:textFill>
            <w14:solidFill>
              <w14:schemeClr w14:val="tx1"/>
            </w14:solidFill>
          </w14:textFill>
        </w:rPr>
        <w:t>，邮编：</w:t>
      </w:r>
      <w:r>
        <w:rPr>
          <w:rFonts w:hint="eastAsia" w:eastAsia="仿宋_GB2312"/>
          <w:color w:val="000000" w:themeColor="text1"/>
          <w:sz w:val="32"/>
          <w:szCs w:val="32"/>
          <w:shd w:val="clear" w:color="auto" w:fill="FFFFFF"/>
          <w:lang w:val="en-US" w:eastAsia="zh-CN"/>
          <w14:textFill>
            <w14:solidFill>
              <w14:schemeClr w14:val="tx1"/>
            </w14:solidFill>
          </w14:textFill>
        </w:rPr>
        <w:t>277100</w:t>
      </w:r>
      <w:r>
        <w:rPr>
          <w:rFonts w:eastAsia="仿宋_GB2312"/>
          <w:color w:val="000000" w:themeColor="text1"/>
          <w:sz w:val="32"/>
          <w:szCs w:val="32"/>
          <w:shd w:val="clear" w:color="auto" w:fill="FFFFFF"/>
          <w:lang w:eastAsia="zh-CN"/>
          <w14:textFill>
            <w14:solidFill>
              <w14:schemeClr w14:val="tx1"/>
            </w14:solidFill>
          </w14:textFill>
        </w:rPr>
        <w:t>，电话：</w:t>
      </w:r>
      <w:r>
        <w:rPr>
          <w:rFonts w:hint="eastAsia" w:eastAsia="仿宋_GB2312"/>
          <w:color w:val="000000" w:themeColor="text1"/>
          <w:sz w:val="32"/>
          <w:szCs w:val="32"/>
          <w:shd w:val="clear" w:color="auto" w:fill="FFFFFF"/>
          <w:lang w:val="en-US" w:eastAsia="zh-CN"/>
          <w14:textFill>
            <w14:solidFill>
              <w14:schemeClr w14:val="tx1"/>
            </w14:solidFill>
          </w14:textFill>
        </w:rPr>
        <w:t>0632-</w:t>
      </w:r>
      <w:r>
        <w:rPr>
          <w:rFonts w:hint="eastAsia" w:eastAsia="仿宋_GB2312"/>
          <w:color w:val="000000" w:themeColor="text1"/>
          <w:sz w:val="32"/>
          <w:szCs w:val="32"/>
          <w:lang w:val="en-US" w:eastAsia="zh-CN"/>
          <w14:textFill>
            <w14:solidFill>
              <w14:schemeClr w14:val="tx1"/>
            </w14:solidFill>
          </w14:textFill>
        </w:rPr>
        <w:t>3755803</w:t>
      </w:r>
      <w:r>
        <w:rPr>
          <w:rFonts w:eastAsia="仿宋_GB2312"/>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电子邮箱：</w:t>
      </w:r>
      <w:r>
        <w:rPr>
          <w:rFonts w:hint="default" w:ascii="Times New Roman" w:hAnsi="Times New Roman" w:eastAsia="微软雅黑" w:cs="Times New Roman"/>
          <w:i w:val="0"/>
          <w:caps w:val="0"/>
          <w:color w:val="000000" w:themeColor="text1"/>
          <w:spacing w:val="8"/>
          <w:kern w:val="0"/>
          <w:sz w:val="24"/>
          <w:szCs w:val="24"/>
          <w:u w:val="none"/>
          <w:shd w:val="clear" w:color="auto" w:fill="FFFFFF"/>
          <w:lang w:val="en-US" w:eastAsia="zh-CN" w:bidi="ar"/>
          <w14:textFill>
            <w14:solidFill>
              <w14:schemeClr w14:val="tx1"/>
            </w14:solidFill>
          </w14:textFill>
        </w:rPr>
        <w:fldChar w:fldCharType="begin"/>
      </w:r>
      <w:r>
        <w:rPr>
          <w:rFonts w:hint="default" w:ascii="Times New Roman" w:hAnsi="Times New Roman" w:eastAsia="微软雅黑" w:cs="Times New Roman"/>
          <w:i w:val="0"/>
          <w:caps w:val="0"/>
          <w:color w:val="000000" w:themeColor="text1"/>
          <w:spacing w:val="8"/>
          <w:kern w:val="0"/>
          <w:sz w:val="24"/>
          <w:szCs w:val="24"/>
          <w:u w:val="none"/>
          <w:shd w:val="clear" w:color="auto" w:fill="FFFFFF"/>
          <w:lang w:val="en-US" w:eastAsia="zh-CN" w:bidi="ar"/>
          <w14:textFill>
            <w14:solidFill>
              <w14:schemeClr w14:val="tx1"/>
            </w14:solidFill>
          </w14:textFill>
        </w:rPr>
        <w:instrText xml:space="preserve"> HYPERLINK "mailto:htqzfzwgkk@wf.shandong.cn%E3%80%82" </w:instrText>
      </w:r>
      <w:r>
        <w:rPr>
          <w:rFonts w:hint="default" w:ascii="Times New Roman" w:hAnsi="Times New Roman" w:eastAsia="微软雅黑" w:cs="Times New Roman"/>
          <w:i w:val="0"/>
          <w:caps w:val="0"/>
          <w:color w:val="000000" w:themeColor="text1"/>
          <w:spacing w:val="8"/>
          <w:kern w:val="0"/>
          <w:sz w:val="24"/>
          <w:szCs w:val="24"/>
          <w:u w:val="none"/>
          <w:shd w:val="clear" w:color="auto" w:fill="FFFFFF"/>
          <w:lang w:val="en-US" w:eastAsia="zh-CN" w:bidi="ar"/>
          <w14:textFill>
            <w14:solidFill>
              <w14:schemeClr w14:val="tx1"/>
            </w14:solidFill>
          </w14:textFill>
        </w:rPr>
        <w:fldChar w:fldCharType="separate"/>
      </w:r>
      <w:r>
        <w:rPr>
          <w:rFonts w:hint="eastAsia" w:eastAsia="仿宋_GB2312"/>
          <w:color w:val="000000" w:themeColor="text1"/>
          <w:sz w:val="32"/>
          <w:szCs w:val="32"/>
          <w:lang w:val="en-US" w:eastAsia="zh-CN"/>
          <w14:textFill>
            <w14:solidFill>
              <w14:schemeClr w14:val="tx1"/>
            </w14:solidFill>
          </w14:textFill>
        </w:rPr>
        <w:t>szqyongan</w:t>
      </w:r>
      <w:r>
        <w:rPr>
          <w:rStyle w:val="6"/>
          <w:rFonts w:hint="default" w:ascii="Times New Roman" w:hAnsi="Times New Roman" w:eastAsia="仿宋_GB2312" w:cs="Times New Roman"/>
          <w:i w:val="0"/>
          <w:caps w:val="0"/>
          <w:color w:val="000000" w:themeColor="text1"/>
          <w:spacing w:val="0"/>
          <w:sz w:val="32"/>
          <w:szCs w:val="32"/>
          <w:u w:val="none"/>
          <w:shd w:val="clear" w:color="auto" w:fill="FFFFFF"/>
          <w14:textFill>
            <w14:solidFill>
              <w14:schemeClr w14:val="tx1"/>
            </w14:solidFill>
          </w14:textFill>
        </w:rPr>
        <w:t>@zz.shandong.cn</w:t>
      </w:r>
      <w:r>
        <w:rPr>
          <w:rFonts w:hint="default" w:ascii="Times New Roman" w:hAnsi="Times New Roman" w:eastAsia="微软雅黑" w:cs="Times New Roman"/>
          <w:i w:val="0"/>
          <w:caps w:val="0"/>
          <w:color w:val="000000" w:themeColor="text1"/>
          <w:spacing w:val="8"/>
          <w:kern w:val="0"/>
          <w:sz w:val="24"/>
          <w:szCs w:val="24"/>
          <w:u w:val="none"/>
          <w:shd w:val="clear" w:color="auto" w:fill="FFFFFF"/>
          <w:lang w:val="en-US" w:eastAsia="zh-CN" w:bidi="ar"/>
          <w14:textFill>
            <w14:solidFill>
              <w14:schemeClr w14:val="tx1"/>
            </w14:solidFill>
          </w14:textFill>
        </w:rPr>
        <w:fldChar w:fldCharType="end"/>
      </w:r>
      <w:r>
        <w:rPr>
          <w:rFonts w:eastAsia="仿宋_GB2312"/>
          <w:color w:val="000000" w:themeColor="text1"/>
          <w:sz w:val="32"/>
          <w:szCs w:val="32"/>
          <w:shd w:val="clear" w:color="auto" w:fill="FFFFFF"/>
          <w:lang w:eastAsia="zh-CN"/>
          <w14:textFill>
            <w14:solidFill>
              <w14:schemeClr w14:val="tx1"/>
            </w14:solidFill>
          </w14:textFill>
        </w:rPr>
        <w:t>）。</w:t>
      </w:r>
    </w:p>
    <w:bookmarkEnd w:id="9"/>
    <w:p w14:paraId="7C3E4AD3">
      <w:pPr>
        <w:keepNext w:val="0"/>
        <w:keepLines w:val="0"/>
        <w:pageBreakBefore w:val="0"/>
        <w:widowControl/>
        <w:kinsoku/>
        <w:wordWrap/>
        <w:overflowPunct/>
        <w:topLinePunct w:val="0"/>
        <w:autoSpaceDE/>
        <w:autoSpaceDN/>
        <w:bidi w:val="0"/>
        <w:adjustRightInd/>
        <w:snapToGrid/>
        <w:spacing w:line="560" w:lineRule="exact"/>
        <w:contextualSpacing/>
        <w:jc w:val="both"/>
        <w:textAlignment w:val="auto"/>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pPr>
    </w:p>
    <w:p w14:paraId="5D69DC5B">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t>市中区</w:t>
      </w:r>
      <w:r>
        <w:rPr>
          <w:rFonts w:hint="eastAsia" w:eastAsia="仿宋_GB2312" w:cs="Times New Roman"/>
          <w:b/>
          <w:bCs/>
          <w:color w:val="000000" w:themeColor="text1"/>
          <w:sz w:val="32"/>
          <w:szCs w:val="32"/>
          <w:lang w:val="en-US" w:eastAsia="zh-CN"/>
          <w14:textFill>
            <w14:solidFill>
              <w14:schemeClr w14:val="tx1"/>
            </w14:solidFill>
          </w14:textFill>
        </w:rPr>
        <w:t>永安镇</w:t>
      </w:r>
    </w:p>
    <w:p w14:paraId="6E7026BA">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t>202</w:t>
      </w:r>
      <w:r>
        <w:rPr>
          <w:rFonts w:hint="eastAsia" w:eastAsia="仿宋_GB2312" w:cs="Times New Roman"/>
          <w:b/>
          <w:bCs/>
          <w:color w:val="000000" w:themeColor="text1"/>
          <w:sz w:val="32"/>
          <w:szCs w:val="32"/>
          <w:shd w:val="clear" w:color="auto" w:fill="FFFFFF"/>
          <w:lang w:val="en-US" w:eastAsia="zh-CN"/>
          <w14:textFill>
            <w14:solidFill>
              <w14:schemeClr w14:val="tx1"/>
            </w14:solidFill>
          </w14:textFill>
        </w:rPr>
        <w:t>6</w:t>
      </w:r>
      <w:r>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t>年1月</w:t>
      </w:r>
      <w:r>
        <w:rPr>
          <w:rFonts w:hint="eastAsia" w:eastAsia="仿宋_GB2312" w:cs="Times New Roman"/>
          <w:b/>
          <w:bCs/>
          <w:color w:val="000000" w:themeColor="text1"/>
          <w:sz w:val="32"/>
          <w:szCs w:val="32"/>
          <w:shd w:val="clear" w:color="auto" w:fill="FFFFFF"/>
          <w:lang w:val="en-US" w:eastAsia="zh-CN"/>
          <w14:textFill>
            <w14:solidFill>
              <w14:schemeClr w14:val="tx1"/>
            </w14:solidFill>
          </w14:textFill>
        </w:rPr>
        <w:t>14</w:t>
      </w:r>
      <w:r>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t>日</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D4BA10-1C29-4CD2-ACF5-BDECAEE2DC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DEF03B4B-A1B3-46AC-A58C-ADA788E0E09F}"/>
  </w:font>
  <w:font w:name="仿宋_GB2312">
    <w:panose1 w:val="02010609030101010101"/>
    <w:charset w:val="86"/>
    <w:family w:val="modern"/>
    <w:pitch w:val="default"/>
    <w:sig w:usb0="00000001" w:usb1="080E0000" w:usb2="00000000" w:usb3="00000000" w:csb0="00040000" w:csb1="00000000"/>
    <w:embedRegular r:id="rId3" w:fontKey="{F1DEFE6F-03B7-4CAF-BD61-E22025A408A2}"/>
  </w:font>
  <w:font w:name="微软雅黑">
    <w:panose1 w:val="020B0503020204020204"/>
    <w:charset w:val="86"/>
    <w:family w:val="swiss"/>
    <w:pitch w:val="default"/>
    <w:sig w:usb0="80000287" w:usb1="2ACF3C50" w:usb2="00000016" w:usb3="00000000" w:csb0="0004001F" w:csb1="00000000"/>
    <w:embedRegular r:id="rId4" w:fontKey="{D90EA628-72B8-4075-814A-E6F9C8EA61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345899"/>
    <w:multiLevelType w:val="singleLevel"/>
    <w:tmpl w:val="5734589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64138"/>
    <w:rsid w:val="005A70FF"/>
    <w:rsid w:val="00B03096"/>
    <w:rsid w:val="00F0539A"/>
    <w:rsid w:val="021D046B"/>
    <w:rsid w:val="025E0CC2"/>
    <w:rsid w:val="08560D28"/>
    <w:rsid w:val="0A3E1141"/>
    <w:rsid w:val="0B8F2AB2"/>
    <w:rsid w:val="0D426B65"/>
    <w:rsid w:val="0DB7343A"/>
    <w:rsid w:val="101A475B"/>
    <w:rsid w:val="189746FE"/>
    <w:rsid w:val="1AAF71B2"/>
    <w:rsid w:val="1CC932F4"/>
    <w:rsid w:val="1D276D79"/>
    <w:rsid w:val="1DC53412"/>
    <w:rsid w:val="1FD24907"/>
    <w:rsid w:val="2007106B"/>
    <w:rsid w:val="227F4F5F"/>
    <w:rsid w:val="24B65C7B"/>
    <w:rsid w:val="271F6DB2"/>
    <w:rsid w:val="27E770BC"/>
    <w:rsid w:val="28BE4FD8"/>
    <w:rsid w:val="2A366FA5"/>
    <w:rsid w:val="2A6E4A40"/>
    <w:rsid w:val="2B247393"/>
    <w:rsid w:val="2B7E7F7A"/>
    <w:rsid w:val="30EE11D2"/>
    <w:rsid w:val="33E70B95"/>
    <w:rsid w:val="34C27E73"/>
    <w:rsid w:val="35690D78"/>
    <w:rsid w:val="372B44B7"/>
    <w:rsid w:val="37DD4F2A"/>
    <w:rsid w:val="3CA63654"/>
    <w:rsid w:val="424E6C95"/>
    <w:rsid w:val="42962A0C"/>
    <w:rsid w:val="43677CBB"/>
    <w:rsid w:val="48E70711"/>
    <w:rsid w:val="4A263FB9"/>
    <w:rsid w:val="4BE16E0F"/>
    <w:rsid w:val="4F1B009D"/>
    <w:rsid w:val="51D940EB"/>
    <w:rsid w:val="56073F6A"/>
    <w:rsid w:val="5A891C07"/>
    <w:rsid w:val="5AE6494C"/>
    <w:rsid w:val="5DDE3632"/>
    <w:rsid w:val="5EA95810"/>
    <w:rsid w:val="62A02DE5"/>
    <w:rsid w:val="62DF0CAC"/>
    <w:rsid w:val="64490C92"/>
    <w:rsid w:val="6C6E0447"/>
    <w:rsid w:val="6EC52406"/>
    <w:rsid w:val="716632E1"/>
    <w:rsid w:val="71742F46"/>
    <w:rsid w:val="72BB477E"/>
    <w:rsid w:val="743334DA"/>
    <w:rsid w:val="754C48A1"/>
    <w:rsid w:val="79390A27"/>
    <w:rsid w:val="7D726BF8"/>
    <w:rsid w:val="7E24588F"/>
    <w:rsid w:val="7ECA3187"/>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abaa43ce-3527-448c-aae0-2c8a95202eaa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6482A660</paraID>
      <start>18</start>
      <end>21</end>
      <status>unmodified</status>
      <modifiedWord/>
      <trackRevisions>false</trackRevisions>
    </reviewItem>
    <reviewItem>
      <errorID>fc761696-a247-495f-9a95-89ffa78b256f</errorID>
      <errorWord>《</errorWord>
      <group>L1_Punc</group>
      <groupName>标点问题</groupName>
      <ability>L2_Punc</ability>
      <abilityName>标点符号检查</abilityName>
      <candidateList/>
      <explain>同一形式括号套用。</explain>
      <paraID>6482A660</paraID>
      <start>43</start>
      <end>44</end>
      <status>unmodified</status>
      <modifiedWord/>
      <trackRevisions>false</trackRevisions>
    </reviewItem>
    <reviewItem>
      <errorID>51635733-cf8a-45e9-8631-30fc65b14026</errorID>
      <errorWord>》</errorWord>
      <group>L1_Punc</group>
      <groupName>标点问题</groupName>
      <ability>L2_Punc</ability>
      <abilityName>标点符号检查</abilityName>
      <candidateList/>
      <explain>同一形式括号套用。</explain>
      <paraID>6482A660</paraID>
      <start>65</start>
      <end>66</end>
      <status>unmodified</status>
      <modifiedWord/>
      <trackRevisions>false</trackRevisions>
    </reviewItem>
    <reviewItem>
      <errorID>73378ab1-19a7-4da6-8e45-4fa8c4a1dba7</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61c23367-51e7-474b-b268-9fc147b06b7e</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d78979-6cb0-4f65-a8a2-ae2fe80c1c40}">
  <ds:schemaRefs/>
</ds:datastoreItem>
</file>

<file path=docProps/app.xml><?xml version="1.0" encoding="utf-8"?>
<Properties xmlns="http://schemas.openxmlformats.org/officeDocument/2006/extended-properties" xmlns:vt="http://schemas.openxmlformats.org/officeDocument/2006/docPropsVTypes">
  <Template>Normal</Template>
  <Pages>7</Pages>
  <Words>1770</Words>
  <Characters>1875</Characters>
  <Lines>53</Lines>
  <Paragraphs>15</Paragraphs>
  <TotalTime>2</TotalTime>
  <ScaleCrop>false</ScaleCrop>
  <LinksUpToDate>false</LinksUpToDate>
  <CharactersWithSpaces>1889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2026-01-20T07:49:36Z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EE215E4638D14A23AC7E61C756DEDEF6_13</vt:lpwstr>
  </property>
</Properties>
</file>