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57AA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FF0000"/>
          <w:sz w:val="44"/>
          <w:szCs w:val="44"/>
          <w:lang w:val="en-US" w:eastAsia="zh-CN"/>
        </w:rPr>
      </w:pPr>
    </w:p>
    <w:p w14:paraId="280240D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司法局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w:t>
      </w:r>
      <w:bookmarkStart w:id="9" w:name="_GoBack"/>
      <w:r>
        <w:rPr>
          <w:rFonts w:hint="default" w:ascii="Times New Roman" w:hAnsi="Times New Roman" w:eastAsia="仿宋_GB2312" w:cs="Times New Roman"/>
          <w:color w:val="auto"/>
          <w:sz w:val="32"/>
          <w:szCs w:val="32"/>
          <w:shd w:val="clear" w:color="auto" w:fill="FFFFFF"/>
          <w:lang w:eastAsia="zh-CN"/>
        </w:rPr>
        <w:t>》、《</w:t>
      </w:r>
      <w:bookmarkEnd w:id="9"/>
      <w:r>
        <w:rPr>
          <w:rFonts w:hint="default" w:ascii="Times New Roman" w:hAnsi="Times New Roman" w:eastAsia="仿宋_GB2312" w:cs="Times New Roman"/>
          <w:color w:val="auto"/>
          <w:sz w:val="32"/>
          <w:szCs w:val="32"/>
          <w:shd w:val="clear" w:color="auto" w:fill="FFFFFF"/>
          <w:lang w:eastAsia="zh-CN"/>
        </w:rPr>
        <w:t>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b w:val="0"/>
          <w:bCs w:val="0"/>
          <w:color w:val="auto"/>
          <w:sz w:val="32"/>
          <w:szCs w:val="32"/>
          <w:shd w:val="clear" w:color="auto" w:fill="FFFFFF"/>
          <w:lang w:val="en-US" w:eastAsia="zh-CN"/>
        </w:rPr>
        <w:t>市中区司法局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龙头中路31</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8207779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szqsfjadmin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eastAsia" w:eastAsia="仿宋_GB2312" w:cs="Times New Roman"/>
          <w:bCs/>
          <w:color w:val="auto"/>
          <w:sz w:val="32"/>
          <w:szCs w:val="32"/>
          <w:lang w:val="en-US" w:eastAsia="zh-CN"/>
        </w:rPr>
        <w:t>市中区司法局</w:t>
      </w:r>
      <w:r>
        <w:rPr>
          <w:rFonts w:hint="default" w:ascii="Times New Roman" w:hAnsi="Times New Roman" w:eastAsia="仿宋_GB2312" w:cs="Times New Roman"/>
          <w:bCs/>
          <w:color w:val="auto"/>
          <w:sz w:val="32"/>
          <w:szCs w:val="32"/>
          <w:lang w:val="en-US" w:eastAsia="zh-CN"/>
        </w:rPr>
        <w:t>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135836AB">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auto"/>
          <w:kern w:val="0"/>
          <w:sz w:val="32"/>
          <w:szCs w:val="32"/>
          <w:lang w:val="en-US" w:eastAsia="zh-CN" w:bidi="en-US"/>
        </w:rPr>
      </w:pPr>
      <w:r>
        <w:rPr>
          <w:rFonts w:hint="default" w:ascii="Times New Roman" w:hAnsi="Times New Roman" w:eastAsia="仿宋_GB2312" w:cs="Times New Roman"/>
          <w:bCs/>
          <w:color w:val="auto"/>
          <w:kern w:val="0"/>
          <w:sz w:val="32"/>
          <w:szCs w:val="32"/>
          <w:lang w:val="en-US" w:eastAsia="zh-CN" w:bidi="en-US"/>
        </w:rPr>
        <w:t>2025年，我局主动公开信息</w:t>
      </w:r>
      <w:r>
        <w:rPr>
          <w:rFonts w:hint="eastAsia" w:ascii="Times New Roman" w:hAnsi="Times New Roman" w:eastAsia="仿宋_GB2312" w:cs="Times New Roman"/>
          <w:bCs/>
          <w:color w:val="auto"/>
          <w:kern w:val="0"/>
          <w:sz w:val="32"/>
          <w:szCs w:val="32"/>
          <w:lang w:val="en-US" w:eastAsia="zh-CN" w:bidi="en-US"/>
        </w:rPr>
        <w:t>670</w:t>
      </w:r>
      <w:r>
        <w:rPr>
          <w:rFonts w:hint="default" w:ascii="Times New Roman" w:hAnsi="Times New Roman" w:eastAsia="仿宋_GB2312" w:cs="Times New Roman"/>
          <w:bCs/>
          <w:color w:val="auto"/>
          <w:kern w:val="0"/>
          <w:sz w:val="32"/>
          <w:szCs w:val="32"/>
          <w:lang w:val="en-US" w:eastAsia="zh-CN" w:bidi="en-US"/>
        </w:rPr>
        <w:t>条，其中在区政府门户网站公开</w:t>
      </w:r>
      <w:r>
        <w:rPr>
          <w:rFonts w:hint="eastAsia" w:ascii="Times New Roman" w:hAnsi="Times New Roman" w:eastAsia="仿宋_GB2312" w:cs="Times New Roman"/>
          <w:bCs/>
          <w:color w:val="auto"/>
          <w:kern w:val="0"/>
          <w:sz w:val="32"/>
          <w:szCs w:val="32"/>
          <w:lang w:val="en-US" w:eastAsia="zh-CN" w:bidi="en-US"/>
        </w:rPr>
        <w:t>190</w:t>
      </w:r>
      <w:r>
        <w:rPr>
          <w:rFonts w:hint="default" w:ascii="Times New Roman" w:hAnsi="Times New Roman" w:eastAsia="仿宋_GB2312" w:cs="Times New Roman"/>
          <w:bCs/>
          <w:color w:val="auto"/>
          <w:kern w:val="0"/>
          <w:sz w:val="32"/>
          <w:szCs w:val="32"/>
          <w:lang w:val="en-US" w:eastAsia="zh-CN" w:bidi="en-US"/>
        </w:rPr>
        <w:t>条，利用微信、微博等形式公开</w:t>
      </w:r>
      <w:r>
        <w:rPr>
          <w:rFonts w:hint="eastAsia" w:ascii="Times New Roman" w:hAnsi="Times New Roman" w:eastAsia="仿宋_GB2312" w:cs="Times New Roman"/>
          <w:bCs/>
          <w:color w:val="auto"/>
          <w:kern w:val="0"/>
          <w:sz w:val="32"/>
          <w:szCs w:val="32"/>
          <w:lang w:val="en-US" w:eastAsia="zh-CN" w:bidi="en-US"/>
        </w:rPr>
        <w:t>480</w:t>
      </w:r>
      <w:r>
        <w:rPr>
          <w:rFonts w:hint="default" w:ascii="Times New Roman" w:hAnsi="Times New Roman" w:eastAsia="仿宋_GB2312" w:cs="Times New Roman"/>
          <w:bCs/>
          <w:color w:val="auto"/>
          <w:kern w:val="0"/>
          <w:sz w:val="32"/>
          <w:szCs w:val="32"/>
          <w:lang w:val="en-US" w:eastAsia="zh-CN" w:bidi="en-US"/>
        </w:rPr>
        <w:t>条，其他渠道公开</w:t>
      </w:r>
      <w:r>
        <w:rPr>
          <w:rFonts w:hint="eastAsia" w:ascii="Times New Roman" w:hAnsi="Times New Roman" w:eastAsia="仿宋_GB2312" w:cs="Times New Roman"/>
          <w:bCs/>
          <w:color w:val="auto"/>
          <w:kern w:val="0"/>
          <w:sz w:val="32"/>
          <w:szCs w:val="32"/>
          <w:lang w:val="en-US" w:eastAsia="zh-CN" w:bidi="en-US"/>
        </w:rPr>
        <w:t>0</w:t>
      </w:r>
      <w:r>
        <w:rPr>
          <w:rFonts w:hint="default" w:ascii="Times New Roman" w:hAnsi="Times New Roman" w:eastAsia="仿宋_GB2312" w:cs="Times New Roman"/>
          <w:bCs/>
          <w:color w:val="auto"/>
          <w:kern w:val="0"/>
          <w:sz w:val="32"/>
          <w:szCs w:val="32"/>
          <w:lang w:val="en-US" w:eastAsia="zh-CN" w:bidi="en-US"/>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1517C64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w:t>
      </w:r>
      <w:r>
        <w:rPr>
          <w:rFonts w:hint="default" w:ascii="Times New Roman" w:hAnsi="Times New Roman" w:eastAsia="仿宋_GB2312" w:cs="Times New Roman"/>
          <w:color w:val="auto"/>
          <w:sz w:val="32"/>
          <w:szCs w:val="32"/>
          <w:shd w:val="clear" w:color="auto" w:fill="FFFFFF"/>
          <w:lang w:val="en-US" w:eastAsia="zh-CN"/>
        </w:rPr>
        <w:t>涉及</w:t>
      </w:r>
      <w:r>
        <w:rPr>
          <w:rFonts w:hint="eastAsia" w:eastAsia="仿宋_GB2312" w:cs="Times New Roman"/>
          <w:color w:val="auto"/>
          <w:sz w:val="32"/>
          <w:szCs w:val="32"/>
          <w:shd w:val="clear" w:color="auto" w:fill="FFFFFF"/>
          <w:lang w:val="en-US" w:eastAsia="zh-CN"/>
        </w:rPr>
        <w:t>公共法律服务领域</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其中予以公开申请</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件，部分公开</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件，不予公开</w:t>
      </w: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件，无法提供</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件，不予处理</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件，均在法定期限内予以答复。</w:t>
      </w:r>
    </w:p>
    <w:p w14:paraId="70476A9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14:paraId="536D9A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050E659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sz w:val="32"/>
          <w:szCs w:val="32"/>
          <w:lang w:eastAsia="zh-CN"/>
        </w:rPr>
      </w:pPr>
      <w:r>
        <w:rPr>
          <w:rFonts w:hint="eastAsia" w:ascii="Times New Roman" w:hAnsi="Times New Roman" w:eastAsia="仿宋_GB2312" w:cs="Times New Roman"/>
          <w:color w:val="auto"/>
          <w:sz w:val="32"/>
          <w:szCs w:val="32"/>
          <w:lang w:eastAsia="zh-CN" w:bidi="ar-SA"/>
        </w:rPr>
        <w:t>我局高度重视政府信息公开工作，把这项工作列入重要议事日程，成立了由局长任组长，分管领导任副组长，局机关各股室负责人为成员的政务公开工作领导小组，下设了办公室在局办公室，明确了专职人员负责政务公开工作</w:t>
      </w:r>
      <w:r>
        <w:rPr>
          <w:rFonts w:hint="eastAsia" w:eastAsia="仿宋_GB2312" w:cs="Times New Roman"/>
          <w:color w:val="auto"/>
          <w:sz w:val="32"/>
          <w:szCs w:val="32"/>
          <w:lang w:eastAsia="zh-CN" w:bidi="ar-SA"/>
        </w:rPr>
        <w:t>，</w:t>
      </w:r>
      <w:r>
        <w:rPr>
          <w:rFonts w:hint="eastAsia" w:ascii="Times New Roman" w:hAnsi="Times New Roman" w:eastAsia="仿宋_GB2312" w:cs="Times New Roman"/>
          <w:color w:val="auto"/>
          <w:sz w:val="32"/>
          <w:szCs w:val="32"/>
          <w:lang w:eastAsia="zh-CN" w:bidi="ar-SA"/>
        </w:rPr>
        <w:t>统筹组织协调全局政务信息公开工作，做到了组织领导到位，机构人员落实到位，工作措施到位，确保了各项政务公开工作的顺利开展。</w:t>
      </w:r>
    </w:p>
    <w:p w14:paraId="7B710DDE">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732BF267">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690"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690"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895"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489"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B4B1904">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0768A4FD">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553B9870">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511D03E3">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C3DD834">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11BDA74">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6.</w:t>
            </w:r>
            <w:bookmarkStart w:id="4" w:name="_Hlk66974555"/>
            <w:r>
              <w:rPr>
                <w:rFonts w:hint="default" w:ascii="Times New Roman" w:hAnsi="Times New Roman" w:eastAsia="仿宋_GB2312" w:cs="Times New Roman"/>
                <w:color w:val="auto"/>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4F1BF5F">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A399D46">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2683FF42">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7DE5FD94">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663C49F0">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2E9B3898">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c>
          <w:tcPr>
            <w:tcW w:w="690" w:type="dxa"/>
            <w:shd w:val="clear" w:color="auto" w:fill="auto"/>
            <w:tcMar>
              <w:left w:w="108" w:type="dxa"/>
              <w:right w:w="108" w:type="dxa"/>
            </w:tcMar>
            <w:vAlign w:val="center"/>
          </w:tcPr>
          <w:p w14:paraId="7209A923">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2EC9E224">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1401EF2A">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4D12DC67">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3481E576">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74780165">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1</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kern w:val="0"/>
                <w:sz w:val="21"/>
                <w:szCs w:val="21"/>
                <w:lang w:eastAsia="zh-CN" w:bidi="ar-SA"/>
              </w:rPr>
            </w:pPr>
            <w:r>
              <w:rPr>
                <w:rFonts w:hint="default" w:ascii="Times New Roman" w:hAnsi="Times New Roman" w:eastAsia="仿宋_GB2312" w:cs="Times New Roman"/>
                <w:color w:val="auto"/>
                <w:kern w:val="0"/>
                <w:sz w:val="21"/>
                <w:szCs w:val="21"/>
                <w:lang w:eastAsia="zh-CN" w:bidi="ar-SA"/>
              </w:rPr>
              <w:t>8.</w:t>
            </w:r>
            <w:bookmarkStart w:id="5" w:name="_Hlk66975211"/>
            <w:r>
              <w:rPr>
                <w:rFonts w:hint="default" w:ascii="Times New Roman" w:hAnsi="Times New Roman" w:eastAsia="仿宋_GB2312" w:cs="Times New Roman"/>
                <w:color w:val="auto"/>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8E6327B">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690" w:type="dxa"/>
            <w:shd w:val="clear" w:color="auto" w:fill="auto"/>
            <w:tcMar>
              <w:left w:w="108" w:type="dxa"/>
              <w:right w:w="108" w:type="dxa"/>
            </w:tcMar>
            <w:vAlign w:val="center"/>
          </w:tcPr>
          <w:p w14:paraId="10BED3C2">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895" w:type="dxa"/>
            <w:shd w:val="clear" w:color="auto" w:fill="auto"/>
            <w:tcMar>
              <w:left w:w="108" w:type="dxa"/>
              <w:right w:w="108" w:type="dxa"/>
            </w:tcMar>
            <w:vAlign w:val="center"/>
          </w:tcPr>
          <w:p w14:paraId="62B42DBC">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724" w:type="dxa"/>
            <w:shd w:val="clear" w:color="auto" w:fill="auto"/>
            <w:tcMar>
              <w:left w:w="108" w:type="dxa"/>
              <w:right w:w="108" w:type="dxa"/>
            </w:tcMar>
            <w:vAlign w:val="center"/>
          </w:tcPr>
          <w:p w14:paraId="1ACAB2D5">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89" w:type="dxa"/>
            <w:shd w:val="clear" w:color="auto" w:fill="auto"/>
            <w:tcMar>
              <w:left w:w="108" w:type="dxa"/>
              <w:right w:w="108" w:type="dxa"/>
            </w:tcMar>
            <w:vAlign w:val="center"/>
          </w:tcPr>
          <w:p w14:paraId="50B10E83">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c>
          <w:tcPr>
            <w:tcW w:w="491" w:type="dxa"/>
            <w:shd w:val="clear" w:color="auto" w:fill="auto"/>
            <w:tcMar>
              <w:left w:w="108" w:type="dxa"/>
              <w:right w:w="108" w:type="dxa"/>
            </w:tcMar>
            <w:vAlign w:val="center"/>
          </w:tcPr>
          <w:p w14:paraId="112091EC">
            <w:pPr>
              <w:widowControl/>
              <w:snapToGrid w:val="0"/>
              <w:spacing w:after="180"/>
              <w:ind w:left="0" w:leftChars="0" w:right="0" w:rightChars="0" w:firstLine="0" w:firstLineChars="0"/>
              <w:jc w:val="center"/>
              <w:rPr>
                <w:rFonts w:hint="default" w:ascii="Times New Roman" w:hAnsi="Times New Roman" w:eastAsia="仿宋_GB2312" w:cs="Times New Roman"/>
                <w:color w:val="auto"/>
                <w:kern w:val="2"/>
                <w:sz w:val="21"/>
                <w:szCs w:val="21"/>
                <w:lang w:val="en-US" w:eastAsia="zh-CN" w:bidi="ar-SA"/>
              </w:rPr>
            </w:pPr>
            <w:r>
              <w:rPr>
                <w:rFonts w:hint="eastAsia" w:ascii="Times New Roman" w:eastAsia="仿宋_GB2312" w:cs="Times New Roman"/>
                <w:color w:val="auto"/>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232FBD">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widowControl/>
              <w:snapToGrid w:val="0"/>
              <w:spacing w:after="180"/>
              <w:ind w:left="0" w:leftChars="0" w:right="0" w:rightChars="0" w:firstLine="0" w:firstLineChars="0"/>
              <w:jc w:val="center"/>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widowControl/>
              <w:snapToGrid w:val="0"/>
              <w:spacing w:after="180"/>
              <w:ind w:left="0" w:leftChars="0" w:right="0" w:rightChars="0" w:firstLine="0" w:firstLineChars="0"/>
              <w:jc w:val="center"/>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c>
          <w:tcPr>
            <w:tcW w:w="690"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2AF86DEE">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4C42B7E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2D0DF166">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t>存在问题：</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一是部分工作人员对信息公开工作的认识深度不足，主动公开的意识仍需强化；二是公开内容的全面性有待提升，现有公开数量与群众实际需求存在差距；三是信息公开载体与呈现形式较为单一，群众获取信息的便捷渠道相对有限。</w:t>
      </w:r>
    </w:p>
    <w:p w14:paraId="634DD51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t>整改情况</w:t>
      </w:r>
      <w:r>
        <w:rPr>
          <w:rFonts w:hint="eastAsia" w:eastAsia="楷体_GB2312"/>
          <w:b/>
          <w:color w:val="000000" w:themeColor="text1"/>
          <w:sz w:val="32"/>
          <w:szCs w:val="32"/>
          <w:lang w:eastAsia="zh-CN" w:bidi="ar-SA"/>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针对上述问题，我局重点推进三项举措：一是深化《中华人民共和国政府信息公开条例》的学习培训，着力提升工作人员对条例的理解精度、掌握程度与应用能力；二是立足全局各部门职能特点，动态拓展公开范围，加大重点领域信息公开力度；三是调研论证新增信息公开载体的可行性，优化信息查阅形式，切实提升社会公众获取信息的便利性。通过系列整改，我局信息公开规范化水平稳步提升，群众满意度持续向好。</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26BDBB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202</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5</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年，我局政府信息公开工作稳步推进，在取得积极进展的同时，</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也</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存在三方面短板：一是对政务公开相关政策和制度的学习领会、贯彻执行有待深化，工作人员在事项把握、依法公开与规范落实方面的能力意识仍需提升；二是部分栏目信息更新时效性不足，存在“重政策文件、项目本身公开，轻实施成果晾晒”的现象；三是公开平台的功能完善与服务集成水平尚需提高，尤其在回应社会关切方面，需推动工作往深里走、往实里落。</w:t>
      </w:r>
    </w:p>
    <w:p w14:paraId="48A05125">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仿宋_GB2312" w:cs="Times New Roman"/>
          <w:b/>
          <w:bCs/>
          <w:color w:val="auto"/>
          <w:sz w:val="32"/>
          <w:szCs w:val="32"/>
          <w:lang w:eastAsia="zh-CN" w:bidi="ar-SA"/>
        </w:rPr>
        <w:t>　</w:t>
      </w:r>
    </w:p>
    <w:p w14:paraId="6E80FCF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pP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针对上述问题，202</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6</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年我局将聚焦政务公开工作重点，从以下</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三个</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方面发力推进：</w:t>
      </w:r>
      <w:r>
        <w:rPr>
          <w:rFonts w:hint="default" w:ascii="仿宋_GB2312" w:hAnsi="仿宋_GB2312" w:eastAsia="仿宋_GB2312" w:cs="仿宋_GB2312"/>
          <w:b/>
          <w:bCs w:val="0"/>
          <w:color w:val="000000" w:themeColor="text1"/>
          <w:kern w:val="0"/>
          <w:sz w:val="32"/>
          <w:szCs w:val="32"/>
          <w:lang w:val="en-US" w:eastAsia="zh-CN" w:bidi="en-US"/>
          <w14:textFill>
            <w14:solidFill>
              <w14:schemeClr w14:val="tx1"/>
            </w14:solidFill>
          </w14:textFill>
        </w:rPr>
        <w:t>一是深化学习培训，筑牢业务根基。</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组织全体干部职工系统研学《中华人民共和国政府信息公开条例》，结合历年工作实践总结典型经验、剖析短板弱项，针对性提升政务公开业务能力，切实增强依法依规开展公开工作的专业素养。</w:t>
      </w:r>
      <w:r>
        <w:rPr>
          <w:rFonts w:hint="default" w:ascii="仿宋_GB2312" w:hAnsi="仿宋_GB2312" w:eastAsia="仿宋_GB2312" w:cs="仿宋_GB2312"/>
          <w:b/>
          <w:bCs w:val="0"/>
          <w:color w:val="000000" w:themeColor="text1"/>
          <w:kern w:val="0"/>
          <w:sz w:val="32"/>
          <w:szCs w:val="32"/>
          <w:lang w:val="en-US" w:eastAsia="zh-CN" w:bidi="en-US"/>
          <w14:textFill>
            <w14:solidFill>
              <w14:schemeClr w14:val="tx1"/>
            </w14:solidFill>
          </w14:textFill>
        </w:rPr>
        <w:t>二是拓展公开维度，提升服务质效。</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稳步推进信息主动公开范围扩容，同步严把公开内容质量关，以更贴合群众需求的信息供给、更精准的公开实效，持续提升政务公开工作的群众认可度与满意度。</w:t>
      </w:r>
      <w:r>
        <w:rPr>
          <w:rFonts w:hint="default" w:ascii="仿宋_GB2312" w:hAnsi="仿宋_GB2312" w:eastAsia="仿宋_GB2312" w:cs="仿宋_GB2312"/>
          <w:b/>
          <w:bCs w:val="0"/>
          <w:color w:val="000000" w:themeColor="text1"/>
          <w:kern w:val="0"/>
          <w:sz w:val="32"/>
          <w:szCs w:val="32"/>
          <w:lang w:val="en-US" w:eastAsia="zh-CN" w:bidi="en-US"/>
          <w14:textFill>
            <w14:solidFill>
              <w14:schemeClr w14:val="tx1"/>
            </w14:solidFill>
          </w14:textFill>
        </w:rPr>
        <w:t>三是强化平台支撑，夯实基础保障。</w:t>
      </w: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优化信息公开栏目设置与功能迭代，重点做强官方信息发布主渠道，通过完善技术架构、规范运维流程，为政务公开常态化、规范化开展提供坚实的平台支撑与机制保障。</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0281D0A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eastAsia="仿宋_GB2312"/>
          <w:color w:val="auto"/>
          <w:sz w:val="32"/>
          <w:szCs w:val="32"/>
          <w:lang w:val="en-US" w:eastAsia="zh-CN"/>
        </w:rPr>
        <w:t>本年度依申请公开政府信息未收取任何费用。</w:t>
      </w:r>
    </w:p>
    <w:p w14:paraId="35F1F67E">
      <w:pPr>
        <w:keepNext w:val="0"/>
        <w:keepLines w:val="0"/>
        <w:pageBreakBefore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6F7CDE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pPr>
      <w:r>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t>我们将持续推行重大行政决策事项目录管理机制，严格遵循决策事项推进时序，依托事项目录设置超链接入口，集中呈现决策草案全文、草案说明、决策背景、公众意见征集与采纳情况、公众代表列席决策会议记录、最终决策结果等全流程信息；同时根据实际情况，适时公开重大决策的风险评估报告、专家论证意见、实施效果评估等材料，确保决策过程透明可溯、公众参与全程留痕。</w:t>
      </w:r>
    </w:p>
    <w:p w14:paraId="23595C9B">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3FAF4C0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000000" w:themeColor="text1"/>
          <w:kern w:val="0"/>
          <w:sz w:val="32"/>
          <w:szCs w:val="32"/>
          <w:lang w:val="en-US" w:eastAsia="zh-CN" w:bidi="en-US"/>
          <w14:textFill>
            <w14:solidFill>
              <w14:schemeClr w14:val="tx1"/>
            </w14:solidFill>
          </w14:textFill>
        </w:rPr>
      </w:pPr>
      <w:r>
        <w:rPr>
          <w:rFonts w:hint="eastAsia" w:eastAsia="仿宋_GB2312"/>
          <w:b w:val="0"/>
          <w:bCs w:val="0"/>
          <w:color w:val="auto"/>
          <w:sz w:val="32"/>
          <w:szCs w:val="32"/>
          <w:lang w:val="en-US" w:eastAsia="zh-CN"/>
        </w:rPr>
        <w:t>2025年，市中区司法局共承办区级人大代表建议1件，办复率100%；承办区政协委员提案3件，办复率100%。</w:t>
      </w:r>
    </w:p>
    <w:p w14:paraId="76FE6F0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467BFE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eastAsia="仿宋_GB2312"/>
          <w:b w:val="0"/>
          <w:bCs w:val="0"/>
          <w:color w:val="auto"/>
          <w:sz w:val="32"/>
          <w:szCs w:val="32"/>
          <w:lang w:val="en-US" w:eastAsia="zh-CN"/>
        </w:rPr>
        <w:t>无</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B0E8B8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（单位名称）</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lang w:val="en-US" w:eastAsia="zh-CN"/>
        </w:rPr>
        <w:t>龙头中路31</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lang w:val="en-US" w:eastAsia="zh-CN"/>
        </w:rPr>
        <w:t>8207779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szqsfjadmin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hint="default" w:ascii="Times New Roman" w:hAnsi="Times New Roman" w:eastAsia="仿宋_GB2312" w:cs="Times New Roman"/>
          <w:color w:val="auto"/>
          <w:sz w:val="32"/>
          <w:szCs w:val="32"/>
          <w:shd w:val="clear" w:color="auto" w:fill="FFFFFF"/>
          <w:lang w:eastAsia="zh-CN"/>
        </w:rPr>
        <w:t>） 。</w:t>
      </w: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0DE084F">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市中区</w:t>
      </w:r>
      <w:r>
        <w:rPr>
          <w:rFonts w:hint="eastAsia" w:ascii="Times New Roman" w:hAnsi="Times New Roman" w:eastAsia="仿宋_GB2312" w:cs="Times New Roman"/>
          <w:color w:val="auto"/>
          <w:sz w:val="32"/>
          <w:szCs w:val="32"/>
          <w:shd w:val="clear" w:color="auto" w:fill="FFFFFF"/>
          <w:lang w:val="en-US" w:eastAsia="zh-CN"/>
        </w:rPr>
        <w:t>司法局</w:t>
      </w:r>
    </w:p>
    <w:p w14:paraId="45B272C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w:t>
      </w:r>
      <w:r>
        <w:rPr>
          <w:rFonts w:hint="eastAsia" w:eastAsia="仿宋_GB2312" w:cs="Times New Roman"/>
          <w:color w:val="auto"/>
          <w:sz w:val="32"/>
          <w:szCs w:val="32"/>
          <w:shd w:val="clear" w:color="auto" w:fill="FFFFFF"/>
          <w:lang w:val="en-US" w:eastAsia="zh-CN"/>
        </w:rPr>
        <w:t>6</w:t>
      </w:r>
      <w:r>
        <w:rPr>
          <w:rFonts w:hint="default" w:ascii="Times New Roman" w:hAnsi="Times New Roman" w:eastAsia="仿宋_GB2312" w:cs="Times New Roman"/>
          <w:color w:val="auto"/>
          <w:sz w:val="32"/>
          <w:szCs w:val="32"/>
          <w:shd w:val="clear" w:color="auto" w:fill="FFFFFF"/>
          <w:lang w:val="en-US" w:eastAsia="zh-CN"/>
        </w:rPr>
        <w:t>年1月</w:t>
      </w:r>
      <w:r>
        <w:rPr>
          <w:rFonts w:hint="eastAsia" w:ascii="Times New Roman" w:hAnsi="Times New Roman" w:eastAsia="仿宋_GB2312" w:cs="Times New Roman"/>
          <w:color w:val="auto"/>
          <w:sz w:val="32"/>
          <w:szCs w:val="32"/>
          <w:shd w:val="clear" w:color="auto" w:fill="FFFFFF"/>
          <w:lang w:val="en-US" w:eastAsia="zh-CN"/>
        </w:rPr>
        <w:t>12</w:t>
      </w:r>
      <w:r>
        <w:rPr>
          <w:rFonts w:hint="default" w:ascii="Times New Roman" w:hAnsi="Times New Roman" w:eastAsia="仿宋_GB2312" w:cs="Times New Roman"/>
          <w:color w:val="auto"/>
          <w:sz w:val="32"/>
          <w:szCs w:val="32"/>
          <w:shd w:val="clear" w:color="auto" w:fill="FFFFFF"/>
          <w:lang w:val="en-US" w:eastAsia="zh-CN"/>
        </w:rPr>
        <w:t>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E8D698-B5E3-4222-B2E6-05DB84E9C8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1EF940D-1B18-497E-8F81-A2CCA376443A}"/>
  </w:font>
  <w:font w:name="仿宋_GB2312">
    <w:panose1 w:val="02010609030101010101"/>
    <w:charset w:val="86"/>
    <w:family w:val="modern"/>
    <w:pitch w:val="default"/>
    <w:sig w:usb0="00000001" w:usb1="080E0000" w:usb2="00000000" w:usb3="00000000" w:csb0="00040000" w:csb1="00000000"/>
    <w:embedRegular r:id="rId3" w:fontKey="{78F60B3A-D455-4D5E-B1A8-3F639A935D23}"/>
  </w:font>
  <w:font w:name="微软雅黑">
    <w:panose1 w:val="020B0503020204020204"/>
    <w:charset w:val="86"/>
    <w:family w:val="swiss"/>
    <w:pitch w:val="default"/>
    <w:sig w:usb0="80000287" w:usb1="2ACF3C50" w:usb2="00000016" w:usb3="00000000" w:csb0="0004001F" w:csb1="00000000"/>
    <w:embedRegular r:id="rId4" w:fontKey="{5525245E-1529-4CBA-82CC-ED258B21CFED}"/>
  </w:font>
  <w:font w:name="楷体_GB2312">
    <w:altName w:val="楷体"/>
    <w:panose1 w:val="02010609030101010101"/>
    <w:charset w:val="86"/>
    <w:family w:val="decorative"/>
    <w:pitch w:val="default"/>
    <w:sig w:usb0="00000000" w:usb1="00000000" w:usb2="00000000" w:usb3="00000000" w:csb0="00040000" w:csb1="00000000"/>
    <w:embedRegular r:id="rId5" w:fontKey="{F3382A7C-2EB6-4C68-91ED-F06537CEE2F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2B87E"/>
    <w:multiLevelType w:val="singleLevel"/>
    <w:tmpl w:val="A3A2B87E"/>
    <w:lvl w:ilvl="0" w:tentative="0">
      <w:start w:val="2"/>
      <w:numFmt w:val="chineseCounting"/>
      <w:suff w:val="nothing"/>
      <w:lvlText w:val="（%1）"/>
      <w:lvlJc w:val="left"/>
      <w:rPr>
        <w:rFonts w:hint="eastAsia"/>
      </w:rPr>
    </w:lvl>
  </w:abstractNum>
  <w:abstractNum w:abstractNumId="1">
    <w:nsid w:val="D3AE12DF"/>
    <w:multiLevelType w:val="singleLevel"/>
    <w:tmpl w:val="D3AE12DF"/>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6604E4C"/>
    <w:rsid w:val="08560D28"/>
    <w:rsid w:val="0A2A37A7"/>
    <w:rsid w:val="0A3E1141"/>
    <w:rsid w:val="0B8F2AB2"/>
    <w:rsid w:val="0BDE4939"/>
    <w:rsid w:val="0D426B65"/>
    <w:rsid w:val="0DB7343A"/>
    <w:rsid w:val="0E372937"/>
    <w:rsid w:val="0F9D24E4"/>
    <w:rsid w:val="101A475B"/>
    <w:rsid w:val="101B4001"/>
    <w:rsid w:val="16755832"/>
    <w:rsid w:val="1AAF71B2"/>
    <w:rsid w:val="1ABE0B73"/>
    <w:rsid w:val="1C8256C5"/>
    <w:rsid w:val="1CA308B0"/>
    <w:rsid w:val="1D276D79"/>
    <w:rsid w:val="1DC53412"/>
    <w:rsid w:val="1FD24907"/>
    <w:rsid w:val="2007106B"/>
    <w:rsid w:val="227F4F5F"/>
    <w:rsid w:val="22EE2050"/>
    <w:rsid w:val="24B65C7B"/>
    <w:rsid w:val="27003DB6"/>
    <w:rsid w:val="27167E66"/>
    <w:rsid w:val="271F6DB2"/>
    <w:rsid w:val="28BE4FD8"/>
    <w:rsid w:val="2A366FA5"/>
    <w:rsid w:val="2A6E4A40"/>
    <w:rsid w:val="2B247393"/>
    <w:rsid w:val="2B7E7F7A"/>
    <w:rsid w:val="2E1754F4"/>
    <w:rsid w:val="2F996B56"/>
    <w:rsid w:val="317A3A13"/>
    <w:rsid w:val="33D22636"/>
    <w:rsid w:val="34C27E73"/>
    <w:rsid w:val="372B44B7"/>
    <w:rsid w:val="37DD4F2A"/>
    <w:rsid w:val="3B5F117C"/>
    <w:rsid w:val="3B763F64"/>
    <w:rsid w:val="3CA63654"/>
    <w:rsid w:val="410E3FFA"/>
    <w:rsid w:val="413E57AF"/>
    <w:rsid w:val="424E6C95"/>
    <w:rsid w:val="42962A0C"/>
    <w:rsid w:val="43677CBB"/>
    <w:rsid w:val="45A007E6"/>
    <w:rsid w:val="4A263FB9"/>
    <w:rsid w:val="4BBC1A51"/>
    <w:rsid w:val="4BE16E0F"/>
    <w:rsid w:val="4C39104D"/>
    <w:rsid w:val="4F1B009D"/>
    <w:rsid w:val="527152D1"/>
    <w:rsid w:val="546D1B81"/>
    <w:rsid w:val="549E285D"/>
    <w:rsid w:val="55DD66F5"/>
    <w:rsid w:val="570F757A"/>
    <w:rsid w:val="5A891C07"/>
    <w:rsid w:val="5AE6494C"/>
    <w:rsid w:val="5BE34355"/>
    <w:rsid w:val="5CEE212D"/>
    <w:rsid w:val="5E2D6537"/>
    <w:rsid w:val="5EA95810"/>
    <w:rsid w:val="60002155"/>
    <w:rsid w:val="60DB0267"/>
    <w:rsid w:val="62A02DE5"/>
    <w:rsid w:val="62DF0CAC"/>
    <w:rsid w:val="64490C92"/>
    <w:rsid w:val="64B41760"/>
    <w:rsid w:val="6DA02882"/>
    <w:rsid w:val="6EC52406"/>
    <w:rsid w:val="6F4656AB"/>
    <w:rsid w:val="716632E1"/>
    <w:rsid w:val="71742F46"/>
    <w:rsid w:val="71864485"/>
    <w:rsid w:val="72BB477E"/>
    <w:rsid w:val="743334DA"/>
    <w:rsid w:val="754C48A1"/>
    <w:rsid w:val="761B49D2"/>
    <w:rsid w:val="769907B6"/>
    <w:rsid w:val="79390A27"/>
    <w:rsid w:val="79A656C4"/>
    <w:rsid w:val="7CE34539"/>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92b816c9-a1e9-49a6-a030-4e11b5368a95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c2970048-e95b-47d6-8e00-7ab3e326c927</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bd509ce1-a552-4a70-9a35-a61adb9d4abb</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5328da80-7330-4e1c-98d1-83fa799101ea</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c48b5556-f9de-4924-bb80-1cb25d8ec7cd</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b140d-47f8-4001-9d0a-d4305762d148}">
  <ds:schemaRefs/>
</ds:datastoreItem>
</file>

<file path=docProps/app.xml><?xml version="1.0" encoding="utf-8"?>
<Properties xmlns="http://schemas.openxmlformats.org/officeDocument/2006/extended-properties" xmlns:vt="http://schemas.openxmlformats.org/officeDocument/2006/docPropsVTypes">
  <Template>Normal</Template>
  <Pages>8</Pages>
  <Words>3276</Words>
  <Characters>3469</Characters>
  <Lines>53</Lines>
  <Paragraphs>15</Paragraphs>
  <TotalTime>17</TotalTime>
  <ScaleCrop>false</ScaleCrop>
  <LinksUpToDate>false</LinksUpToDate>
  <CharactersWithSpaces>3499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