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8191A3">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color w:val="auto"/>
          <w:sz w:val="44"/>
          <w:szCs w:val="44"/>
          <w:highlight w:val="none"/>
          <w:lang w:val="en-US" w:eastAsia="zh-CN"/>
        </w:rPr>
      </w:pPr>
      <w:r>
        <w:rPr>
          <w:rFonts w:hint="default" w:ascii="Times New Roman" w:hAnsi="Times New Roman" w:eastAsia="方正小标宋简体" w:cs="Times New Roman"/>
          <w:color w:val="auto"/>
          <w:sz w:val="44"/>
          <w:szCs w:val="44"/>
          <w:highlight w:val="none"/>
          <w:lang w:val="en-US" w:eastAsia="zh-CN"/>
        </w:rPr>
        <w:t>市中区矿区街道办事处</w:t>
      </w:r>
    </w:p>
    <w:p w14:paraId="5731E567">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color w:val="auto"/>
          <w:sz w:val="44"/>
          <w:szCs w:val="44"/>
          <w:highlight w:val="none"/>
          <w:lang w:val="en-US" w:eastAsia="zh-CN"/>
        </w:rPr>
      </w:pPr>
      <w:r>
        <w:rPr>
          <w:rFonts w:hint="default" w:ascii="Times New Roman" w:hAnsi="Times New Roman" w:eastAsia="方正小标宋简体" w:cs="Times New Roman"/>
          <w:color w:val="auto"/>
          <w:sz w:val="44"/>
          <w:szCs w:val="44"/>
          <w:highlight w:val="none"/>
          <w:lang w:val="en-US" w:eastAsia="zh-CN"/>
        </w:rPr>
        <w:t>2025年政府信息公开工作年度报告</w:t>
      </w:r>
    </w:p>
    <w:p w14:paraId="0DEC734F">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default" w:ascii="Times New Roman" w:hAnsi="Times New Roman" w:eastAsia="黑体" w:cs="Times New Roman"/>
          <w:color w:val="auto"/>
          <w:sz w:val="32"/>
          <w:szCs w:val="32"/>
          <w:highlight w:val="none"/>
          <w:shd w:val="clear" w:color="auto" w:fill="FFFFFF"/>
          <w:lang w:eastAsia="zh-CN"/>
        </w:rPr>
      </w:pPr>
    </w:p>
    <w:p w14:paraId="0C2DE578">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outlineLvl w:val="9"/>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根据《中华人民共和国政府信息公开条例</w:t>
      </w:r>
      <w:bookmarkStart w:id="12" w:name="_GoBack"/>
      <w:r>
        <w:rPr>
          <w:rFonts w:hint="default" w:ascii="Times New Roman" w:hAnsi="Times New Roman" w:eastAsia="仿宋_GB2312" w:cs="Times New Roman"/>
          <w:color w:val="auto"/>
          <w:sz w:val="32"/>
          <w:szCs w:val="32"/>
          <w:shd w:val="clear" w:color="auto" w:fill="FFFFFF"/>
          <w:lang w:eastAsia="zh-CN"/>
        </w:rPr>
        <w:t>》、《</w:t>
      </w:r>
      <w:bookmarkEnd w:id="12"/>
      <w:r>
        <w:rPr>
          <w:rFonts w:hint="default" w:ascii="Times New Roman" w:hAnsi="Times New Roman" w:eastAsia="仿宋_GB2312" w:cs="Times New Roman"/>
          <w:color w:val="auto"/>
          <w:sz w:val="32"/>
          <w:szCs w:val="32"/>
          <w:shd w:val="clear" w:color="auto" w:fill="FFFFFF"/>
          <w:lang w:eastAsia="zh-CN"/>
        </w:rPr>
        <w:t>国务院办公厅政府信息与政务公开办公室关于印发《中华人民共和国政府信息公开工作年度报告格式》的通知》（国办公开办函〔20</w:t>
      </w:r>
      <w:r>
        <w:rPr>
          <w:rFonts w:hint="default" w:ascii="Times New Roman" w:hAnsi="Times New Roman" w:eastAsia="仿宋_GB2312" w:cs="Times New Roman"/>
          <w:color w:val="auto"/>
          <w:sz w:val="32"/>
          <w:szCs w:val="32"/>
          <w:shd w:val="clear" w:color="auto" w:fill="FFFFFF"/>
          <w:lang w:val="en-US" w:eastAsia="zh-CN"/>
        </w:rPr>
        <w:t>21</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30</w:t>
      </w:r>
      <w:r>
        <w:rPr>
          <w:rFonts w:hint="default" w:ascii="Times New Roman" w:hAnsi="Times New Roman" w:eastAsia="仿宋_GB2312" w:cs="Times New Roman"/>
          <w:color w:val="auto"/>
          <w:sz w:val="32"/>
          <w:szCs w:val="32"/>
          <w:shd w:val="clear" w:color="auto" w:fill="FFFFFF"/>
          <w:lang w:eastAsia="zh-CN"/>
        </w:rPr>
        <w:t>号）和省、</w:t>
      </w:r>
      <w:r>
        <w:rPr>
          <w:rFonts w:hint="default" w:ascii="Times New Roman" w:hAnsi="Times New Roman" w:eastAsia="仿宋_GB2312" w:cs="Times New Roman"/>
          <w:color w:val="auto"/>
          <w:sz w:val="32"/>
          <w:szCs w:val="32"/>
          <w:shd w:val="clear" w:color="auto" w:fill="FFFFFF"/>
          <w:lang w:val="en-US" w:eastAsia="zh-CN"/>
        </w:rPr>
        <w:t>市</w:t>
      </w:r>
      <w:r>
        <w:rPr>
          <w:rFonts w:hint="default" w:ascii="Times New Roman" w:hAnsi="Times New Roman" w:eastAsia="仿宋_GB2312" w:cs="Times New Roman"/>
          <w:color w:val="auto"/>
          <w:sz w:val="32"/>
          <w:szCs w:val="32"/>
          <w:shd w:val="clear" w:color="auto" w:fill="FFFFFF"/>
          <w:lang w:eastAsia="zh-CN"/>
        </w:rPr>
        <w:t>有关工作要求，编制本报告并向社会公开。本年度报告电子版可从</w:t>
      </w:r>
      <w:r>
        <w:rPr>
          <w:rFonts w:hint="default" w:ascii="Times New Roman" w:hAnsi="Times New Roman" w:eastAsia="仿宋_GB2312" w:cs="Times New Roman"/>
          <w:color w:val="auto"/>
          <w:sz w:val="32"/>
          <w:szCs w:val="32"/>
          <w:shd w:val="clear" w:color="auto" w:fill="FFFFFF"/>
          <w:lang w:val="en-US" w:eastAsia="zh-CN"/>
        </w:rPr>
        <w:t>市中区</w:t>
      </w:r>
      <w:r>
        <w:rPr>
          <w:rFonts w:hint="default" w:ascii="Times New Roman" w:hAnsi="Times New Roman" w:eastAsia="仿宋_GB2312" w:cs="Times New Roman"/>
          <w:color w:val="auto"/>
          <w:sz w:val="32"/>
          <w:szCs w:val="32"/>
          <w:shd w:val="clear" w:color="auto" w:fill="FFFFFF"/>
          <w:lang w:eastAsia="zh-CN"/>
        </w:rPr>
        <w:t>人民政府门户网站（</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http://www.zzszq.gov.cn/</w:t>
      </w:r>
      <w:r>
        <w:rPr>
          <w:rFonts w:hint="default" w:ascii="Times New Roman" w:hAnsi="Times New Roman" w:eastAsia="仿宋_GB2312" w:cs="Times New Roman"/>
          <w:color w:val="auto"/>
          <w:sz w:val="32"/>
          <w:szCs w:val="32"/>
          <w:shd w:val="clear" w:color="auto" w:fill="FFFFFF"/>
          <w:lang w:eastAsia="zh-CN"/>
        </w:rPr>
        <w:t>）查阅或下载。本报告所列数据的统计</w:t>
      </w:r>
      <w:r>
        <w:rPr>
          <w:rFonts w:hint="default" w:ascii="Times New Roman" w:hAnsi="Times New Roman" w:eastAsia="仿宋_GB2312" w:cs="Times New Roman"/>
          <w:color w:val="auto"/>
          <w:sz w:val="32"/>
          <w:szCs w:val="32"/>
          <w:shd w:val="clear" w:color="auto" w:fill="FFFFFF"/>
          <w:lang w:val="en-US" w:eastAsia="zh-CN"/>
        </w:rPr>
        <w:t>期</w:t>
      </w:r>
      <w:r>
        <w:rPr>
          <w:rFonts w:hint="default" w:ascii="Times New Roman" w:hAnsi="Times New Roman" w:eastAsia="仿宋_GB2312" w:cs="Times New Roman"/>
          <w:color w:val="auto"/>
          <w:sz w:val="32"/>
          <w:szCs w:val="32"/>
          <w:shd w:val="clear" w:color="auto" w:fill="FFFFFF"/>
          <w:lang w:eastAsia="zh-CN"/>
        </w:rPr>
        <w:t>限自202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年1月1日</w:t>
      </w:r>
      <w:r>
        <w:rPr>
          <w:rFonts w:hint="default" w:ascii="Times New Roman" w:hAnsi="Times New Roman" w:eastAsia="仿宋_GB2312" w:cs="Times New Roman"/>
          <w:color w:val="auto"/>
          <w:sz w:val="32"/>
          <w:szCs w:val="32"/>
          <w:shd w:val="clear" w:color="auto" w:fill="FFFFFF"/>
          <w:lang w:val="en-US" w:eastAsia="zh-CN"/>
        </w:rPr>
        <w:t>起</w:t>
      </w:r>
      <w:r>
        <w:rPr>
          <w:rFonts w:hint="default" w:ascii="Times New Roman" w:hAnsi="Times New Roman" w:eastAsia="仿宋_GB2312" w:cs="Times New Roman"/>
          <w:color w:val="auto"/>
          <w:sz w:val="32"/>
          <w:szCs w:val="32"/>
          <w:shd w:val="clear" w:color="auto" w:fill="FFFFFF"/>
          <w:lang w:eastAsia="zh-CN"/>
        </w:rPr>
        <w:t>至202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年12月31日</w:t>
      </w:r>
      <w:r>
        <w:rPr>
          <w:rFonts w:hint="default" w:ascii="Times New Roman" w:hAnsi="Times New Roman" w:eastAsia="仿宋_GB2312" w:cs="Times New Roman"/>
          <w:color w:val="auto"/>
          <w:sz w:val="32"/>
          <w:szCs w:val="32"/>
          <w:shd w:val="clear" w:color="auto" w:fill="FFFFFF"/>
          <w:lang w:val="en-US" w:eastAsia="zh-CN"/>
        </w:rPr>
        <w:t>止</w:t>
      </w:r>
      <w:r>
        <w:rPr>
          <w:rFonts w:hint="default" w:ascii="Times New Roman" w:hAnsi="Times New Roman" w:eastAsia="仿宋_GB2312" w:cs="Times New Roman"/>
          <w:color w:val="auto"/>
          <w:sz w:val="32"/>
          <w:szCs w:val="32"/>
          <w:shd w:val="clear" w:color="auto" w:fill="FFFFFF"/>
          <w:lang w:eastAsia="zh-CN"/>
        </w:rPr>
        <w:t>。如对本报告有疑问，可与市中区矿区街道办事处联系（地址：</w:t>
      </w:r>
      <w:r>
        <w:rPr>
          <w:rFonts w:hint="default" w:ascii="Times New Roman" w:hAnsi="Times New Roman" w:eastAsia="仿宋_GB2312" w:cs="Times New Roman"/>
          <w:color w:val="auto"/>
          <w:sz w:val="32"/>
          <w:szCs w:val="32"/>
          <w:shd w:val="clear" w:color="auto" w:fill="FFFFFF"/>
          <w:lang w:val="en-US" w:eastAsia="zh-CN"/>
        </w:rPr>
        <w:t>枣庄市市中区解放北路1号</w:t>
      </w:r>
      <w:r>
        <w:rPr>
          <w:rFonts w:hint="default" w:ascii="Times New Roman" w:hAnsi="Times New Roman" w:eastAsia="仿宋_GB2312" w:cs="Times New Roman"/>
          <w:color w:val="auto"/>
          <w:sz w:val="32"/>
          <w:szCs w:val="32"/>
          <w:shd w:val="clear" w:color="auto" w:fill="FFFFFF"/>
          <w:lang w:eastAsia="zh-CN"/>
        </w:rPr>
        <w:t>，邮编：</w:t>
      </w:r>
      <w:r>
        <w:rPr>
          <w:rFonts w:hint="default" w:ascii="Times New Roman" w:hAnsi="Times New Roman" w:eastAsia="仿宋_GB2312" w:cs="Times New Roman"/>
          <w:color w:val="auto"/>
          <w:sz w:val="32"/>
          <w:szCs w:val="32"/>
          <w:shd w:val="clear" w:color="auto" w:fill="FFFFFF"/>
          <w:lang w:val="en-US" w:eastAsia="zh-CN"/>
        </w:rPr>
        <w:t>277100</w:t>
      </w:r>
      <w:r>
        <w:rPr>
          <w:rFonts w:hint="default" w:ascii="Times New Roman" w:hAnsi="Times New Roman" w:eastAsia="仿宋_GB2312" w:cs="Times New Roman"/>
          <w:color w:val="auto"/>
          <w:sz w:val="32"/>
          <w:szCs w:val="32"/>
          <w:shd w:val="clear" w:color="auto" w:fill="FFFFFF"/>
          <w:lang w:eastAsia="zh-CN"/>
        </w:rPr>
        <w:t>，电话：</w:t>
      </w:r>
      <w:r>
        <w:rPr>
          <w:rFonts w:hint="default" w:ascii="Times New Roman" w:hAnsi="Times New Roman" w:eastAsia="仿宋_GB2312" w:cs="Times New Roman"/>
          <w:color w:val="auto"/>
          <w:sz w:val="32"/>
          <w:szCs w:val="32"/>
          <w:shd w:val="clear" w:color="auto" w:fill="FFFFFF"/>
          <w:lang w:val="en-US" w:eastAsia="zh-CN"/>
        </w:rPr>
        <w:t>0632-8022900</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电子邮箱：szqkqjdbscadmin@zz.shandong.cn</w:t>
      </w:r>
      <w:r>
        <w:rPr>
          <w:rFonts w:hint="default" w:ascii="Times New Roman" w:hAnsi="Times New Roman" w:eastAsia="仿宋_GB2312" w:cs="Times New Roman"/>
          <w:color w:val="auto"/>
          <w:sz w:val="32"/>
          <w:szCs w:val="32"/>
          <w:shd w:val="clear" w:color="auto" w:fill="FFFFFF"/>
          <w:lang w:eastAsia="zh-CN"/>
        </w:rPr>
        <w:t>）。</w:t>
      </w:r>
    </w:p>
    <w:p w14:paraId="21DFF731">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outlineLvl w:val="9"/>
        <w:rPr>
          <w:rFonts w:hint="default" w:ascii="Times New Roman" w:hAnsi="Times New Roman" w:eastAsia="黑体" w:cs="Times New Roman"/>
          <w:color w:val="auto"/>
          <w:sz w:val="32"/>
          <w:szCs w:val="32"/>
          <w:highlight w:val="none"/>
          <w:shd w:val="clear" w:color="auto" w:fill="FFFFFF"/>
          <w:lang w:val="en-US" w:eastAsia="zh-CN"/>
        </w:rPr>
      </w:pPr>
      <w:r>
        <w:rPr>
          <w:rFonts w:hint="default" w:ascii="Times New Roman" w:hAnsi="Times New Roman" w:eastAsia="黑体" w:cs="Times New Roman"/>
          <w:color w:val="auto"/>
          <w:sz w:val="32"/>
          <w:szCs w:val="32"/>
          <w:highlight w:val="none"/>
          <w:shd w:val="clear" w:color="auto" w:fill="FFFFFF"/>
          <w:lang w:val="en-US" w:eastAsia="zh-CN"/>
        </w:rPr>
        <w:t>一、总体情况</w:t>
      </w:r>
    </w:p>
    <w:p w14:paraId="05F43ADE">
      <w:pPr>
        <w:keepNext w:val="0"/>
        <w:keepLines w:val="0"/>
        <w:pageBreakBefore w:val="0"/>
        <w:widowControl w:val="0"/>
        <w:kinsoku/>
        <w:wordWrap/>
        <w:overflowPunct w:val="0"/>
        <w:topLinePunct w:val="0"/>
        <w:autoSpaceDE w:val="0"/>
        <w:autoSpaceDN w:val="0"/>
        <w:bidi w:val="0"/>
        <w:adjustRightInd/>
        <w:snapToGrid/>
        <w:spacing w:line="560" w:lineRule="exact"/>
        <w:ind w:firstLine="640" w:firstLineChars="200"/>
        <w:contextualSpacing/>
        <w:jc w:val="both"/>
        <w:textAlignment w:val="auto"/>
        <w:outlineLvl w:val="9"/>
        <w:rPr>
          <w:rFonts w:hint="default" w:ascii="Times New Roman" w:hAnsi="Times New Roman" w:eastAsia="黑体" w:cs="Times New Roman"/>
          <w:bCs/>
          <w:color w:val="auto"/>
          <w:sz w:val="32"/>
          <w:szCs w:val="32"/>
          <w:lang w:val="en-US" w:eastAsia="zh-CN"/>
        </w:rPr>
      </w:pPr>
      <w:r>
        <w:rPr>
          <w:rFonts w:hint="default" w:ascii="Times New Roman" w:hAnsi="Times New Roman" w:eastAsia="仿宋_GB2312" w:cs="Times New Roman"/>
          <w:color w:val="auto"/>
          <w:sz w:val="32"/>
          <w:szCs w:val="32"/>
          <w:shd w:val="clear" w:color="auto" w:fill="FFFFFF"/>
          <w:lang w:val="en-US" w:eastAsia="zh-CN"/>
        </w:rPr>
        <w:t>2025年，矿区街道认真贯彻落实《中华人民共和国政府信息公开条例》，着力健全完善信息公开工作体系，强化信息公开载体建设，结合我街道工作实际，进一步健全组织机构，完善信息公开机制，强化各项工作措施，在</w:t>
      </w:r>
      <w:r>
        <w:rPr>
          <w:rFonts w:hint="eastAsia" w:eastAsia="仿宋_GB2312" w:cs="Times New Roman"/>
          <w:color w:val="auto"/>
          <w:sz w:val="32"/>
          <w:szCs w:val="32"/>
          <w:shd w:val="clear" w:color="auto" w:fill="FFFFFF"/>
          <w:lang w:val="en-US" w:eastAsia="zh-CN"/>
        </w:rPr>
        <w:t>保障</w:t>
      </w:r>
      <w:r>
        <w:rPr>
          <w:rFonts w:hint="default" w:ascii="Times New Roman" w:hAnsi="Times New Roman" w:eastAsia="仿宋_GB2312" w:cs="Times New Roman"/>
          <w:color w:val="auto"/>
          <w:sz w:val="32"/>
          <w:szCs w:val="32"/>
          <w:shd w:val="clear" w:color="auto" w:fill="FFFFFF"/>
          <w:lang w:val="en-US" w:eastAsia="zh-CN"/>
        </w:rPr>
        <w:t>公众知情权、满足公众信息需求方面取得了积极成效。</w:t>
      </w:r>
    </w:p>
    <w:p w14:paraId="7D91B127">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outlineLvl w:val="9"/>
        <w:rPr>
          <w:rFonts w:hint="default" w:ascii="Times New Roman" w:hAnsi="Times New Roman" w:eastAsia="楷体_GB2312" w:cs="Times New Roman"/>
          <w:bCs/>
          <w:color w:val="auto"/>
          <w:sz w:val="32"/>
          <w:szCs w:val="32"/>
          <w:highlight w:val="none"/>
          <w:lang w:val="en-US" w:eastAsia="zh-CN"/>
        </w:rPr>
      </w:pPr>
      <w:r>
        <w:rPr>
          <w:rFonts w:hint="default" w:ascii="Times New Roman" w:hAnsi="Times New Roman" w:eastAsia="楷体_GB2312" w:cs="Times New Roman"/>
          <w:bCs/>
          <w:color w:val="auto"/>
          <w:sz w:val="32"/>
          <w:szCs w:val="32"/>
          <w:highlight w:val="none"/>
          <w:lang w:val="en-US" w:eastAsia="zh-CN"/>
        </w:rPr>
        <w:t>（一）主动公开</w:t>
      </w:r>
    </w:p>
    <w:p w14:paraId="17B15FF9">
      <w:pPr>
        <w:keepNext w:val="0"/>
        <w:keepLines w:val="0"/>
        <w:pageBreakBefore w:val="0"/>
        <w:widowControl w:val="0"/>
        <w:kinsoku/>
        <w:wordWrap/>
        <w:overflowPunct w:val="0"/>
        <w:topLinePunct w:val="0"/>
        <w:autoSpaceDE w:val="0"/>
        <w:autoSpaceDN w:val="0"/>
        <w:bidi w:val="0"/>
        <w:adjustRightInd/>
        <w:snapToGrid/>
        <w:spacing w:line="560" w:lineRule="exact"/>
        <w:ind w:firstLine="640" w:firstLineChars="200"/>
        <w:contextualSpacing/>
        <w:jc w:val="both"/>
        <w:textAlignment w:val="auto"/>
        <w:outlineLvl w:val="9"/>
        <w:rPr>
          <w:rFonts w:hint="default" w:ascii="Times New Roman" w:hAnsi="Times New Roman" w:eastAsia="仿宋_GB2312" w:cs="Times New Roman"/>
          <w:color w:val="auto"/>
          <w:sz w:val="32"/>
          <w:szCs w:val="32"/>
          <w:highlight w:val="yellow"/>
          <w:shd w:val="clear" w:color="auto" w:fill="FFFFFF"/>
          <w:lang w:val="en-US" w:eastAsia="zh-CN"/>
        </w:rPr>
      </w:pPr>
      <w:r>
        <w:rPr>
          <w:rFonts w:hint="default" w:ascii="Times New Roman" w:hAnsi="Times New Roman" w:eastAsia="仿宋_GB2312" w:cs="Times New Roman"/>
          <w:color w:val="auto"/>
          <w:sz w:val="32"/>
          <w:szCs w:val="32"/>
          <w:highlight w:val="none"/>
          <w:shd w:val="clear" w:color="auto" w:fill="FFFFFF"/>
          <w:lang w:val="en-US" w:eastAsia="zh-CN"/>
        </w:rPr>
        <w:t>2025年，我街道主动公开信息290条，其中在区政府门户网站公开73条，其他渠道公开217条。</w:t>
      </w:r>
    </w:p>
    <w:p w14:paraId="5BBD12F4">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outlineLvl w:val="9"/>
        <w:rPr>
          <w:rFonts w:hint="default" w:ascii="Times New Roman" w:hAnsi="Times New Roman" w:eastAsia="楷体_GB2312" w:cs="Times New Roman"/>
          <w:bCs/>
          <w:color w:val="auto"/>
          <w:sz w:val="32"/>
          <w:szCs w:val="32"/>
          <w:highlight w:val="none"/>
          <w:lang w:val="en-US" w:eastAsia="zh-CN"/>
        </w:rPr>
      </w:pPr>
      <w:r>
        <w:rPr>
          <w:rFonts w:hint="default" w:ascii="Times New Roman" w:hAnsi="Times New Roman" w:eastAsia="楷体_GB2312" w:cs="Times New Roman"/>
          <w:bCs/>
          <w:color w:val="auto"/>
          <w:sz w:val="32"/>
          <w:szCs w:val="32"/>
          <w:highlight w:val="none"/>
          <w:lang w:val="en-US" w:eastAsia="zh-CN"/>
        </w:rPr>
        <w:t>（二）依申请公开</w:t>
      </w:r>
    </w:p>
    <w:p w14:paraId="7A905A86">
      <w:pPr>
        <w:keepNext w:val="0"/>
        <w:keepLines w:val="0"/>
        <w:pageBreakBefore w:val="0"/>
        <w:widowControl w:val="0"/>
        <w:kinsoku/>
        <w:wordWrap/>
        <w:overflowPunct w:val="0"/>
        <w:topLinePunct w:val="0"/>
        <w:autoSpaceDE w:val="0"/>
        <w:autoSpaceDN w:val="0"/>
        <w:bidi w:val="0"/>
        <w:adjustRightInd/>
        <w:snapToGrid/>
        <w:spacing w:line="560" w:lineRule="exact"/>
        <w:ind w:firstLine="640" w:firstLineChars="200"/>
        <w:contextualSpacing/>
        <w:jc w:val="both"/>
        <w:textAlignment w:val="auto"/>
        <w:outlineLvl w:val="9"/>
        <w:rPr>
          <w:rFonts w:hint="default" w:ascii="Times New Roman" w:hAnsi="Times New Roman" w:eastAsia="仿宋_GB2312" w:cs="Times New Roman"/>
          <w:color w:val="auto"/>
          <w:sz w:val="32"/>
          <w:szCs w:val="32"/>
          <w:highlight w:val="none"/>
          <w:shd w:val="clear" w:color="auto" w:fill="FFFFFF"/>
          <w:lang w:val="en-US" w:eastAsia="zh-CN"/>
        </w:rPr>
      </w:pPr>
      <w:r>
        <w:rPr>
          <w:rFonts w:hint="default" w:ascii="Times New Roman" w:hAnsi="Times New Roman" w:eastAsia="仿宋_GB2312" w:cs="Times New Roman"/>
          <w:color w:val="auto"/>
          <w:sz w:val="32"/>
          <w:szCs w:val="32"/>
          <w:highlight w:val="none"/>
          <w:shd w:val="clear" w:color="auto" w:fill="FFFFFF"/>
          <w:lang w:val="en-US" w:eastAsia="zh-CN"/>
        </w:rPr>
        <w:t>市中区矿区街道做好依申请公开工作，依法保障民众的知情权、参与权、表达权、监督权</w:t>
      </w:r>
      <w:r>
        <w:rPr>
          <w:rFonts w:hint="eastAsia" w:eastAsia="仿宋_GB2312" w:cs="Times New Roman"/>
          <w:color w:val="auto"/>
          <w:sz w:val="32"/>
          <w:szCs w:val="32"/>
          <w:highlight w:val="none"/>
          <w:shd w:val="clear" w:color="auto" w:fill="FFFFFF"/>
          <w:lang w:val="en-US" w:eastAsia="zh-CN"/>
        </w:rPr>
        <w:t>。2025年共受理政府信息公开申请1件，涉及1个领域。其中予以公开申请1件，部分公开0件，不予公开0件，无法提供0件，不予处理0件，均在法定期限内予以答复。</w:t>
      </w:r>
    </w:p>
    <w:p w14:paraId="076C49E3">
      <w:pPr>
        <w:keepNext w:val="0"/>
        <w:keepLines w:val="0"/>
        <w:pageBreakBefore w:val="0"/>
        <w:widowControl w:val="0"/>
        <w:kinsoku/>
        <w:wordWrap/>
        <w:overflowPunct w:val="0"/>
        <w:topLinePunct w:val="0"/>
        <w:autoSpaceDE w:val="0"/>
        <w:autoSpaceDN w:val="0"/>
        <w:bidi w:val="0"/>
        <w:adjustRightInd/>
        <w:snapToGrid/>
        <w:spacing w:line="560" w:lineRule="exact"/>
        <w:ind w:firstLine="640" w:firstLineChars="200"/>
        <w:contextualSpacing/>
        <w:jc w:val="both"/>
        <w:textAlignment w:val="auto"/>
        <w:outlineLvl w:val="9"/>
        <w:rPr>
          <w:rFonts w:hint="default" w:ascii="Times New Roman" w:hAnsi="Times New Roman" w:eastAsia="仿宋_GB2312" w:cs="Times New Roman"/>
          <w:color w:val="auto"/>
          <w:sz w:val="32"/>
          <w:szCs w:val="32"/>
          <w:highlight w:val="none"/>
          <w:shd w:val="clear" w:color="auto" w:fill="FFFFFF"/>
          <w:lang w:val="en-US" w:eastAsia="zh-CN"/>
        </w:rPr>
      </w:pPr>
      <w:r>
        <w:rPr>
          <w:rFonts w:hint="default" w:ascii="Times New Roman" w:hAnsi="Times New Roman" w:eastAsia="仿宋_GB2312" w:cs="Times New Roman"/>
          <w:color w:val="auto"/>
          <w:sz w:val="32"/>
          <w:szCs w:val="32"/>
          <w:highlight w:val="none"/>
          <w:shd w:val="clear" w:color="auto" w:fill="FFFFFF"/>
          <w:lang w:val="en-US" w:eastAsia="zh-CN"/>
        </w:rPr>
        <w:t>本年度市中区矿区街道无收取任何费用情况。</w:t>
      </w:r>
    </w:p>
    <w:p w14:paraId="3B85460E">
      <w:pPr>
        <w:keepNext w:val="0"/>
        <w:keepLines w:val="0"/>
        <w:pageBreakBefore w:val="0"/>
        <w:widowControl w:val="0"/>
        <w:kinsoku/>
        <w:wordWrap/>
        <w:overflowPunct w:val="0"/>
        <w:topLinePunct w:val="0"/>
        <w:autoSpaceDE w:val="0"/>
        <w:autoSpaceDN w:val="0"/>
        <w:bidi w:val="0"/>
        <w:adjustRightInd/>
        <w:snapToGrid/>
        <w:spacing w:line="560" w:lineRule="exact"/>
        <w:ind w:firstLine="640" w:firstLineChars="200"/>
        <w:contextualSpacing/>
        <w:jc w:val="both"/>
        <w:textAlignment w:val="auto"/>
        <w:outlineLvl w:val="9"/>
        <w:rPr>
          <w:rFonts w:hint="default" w:ascii="Times New Roman" w:hAnsi="Times New Roman" w:eastAsia="仿宋_GB2312" w:cs="Times New Roman"/>
          <w:color w:val="auto"/>
          <w:sz w:val="32"/>
          <w:szCs w:val="32"/>
          <w:highlight w:val="none"/>
          <w:shd w:val="clear" w:color="auto" w:fill="FFFFFF"/>
          <w:lang w:val="en-US" w:eastAsia="zh-CN"/>
        </w:rPr>
      </w:pPr>
      <w:r>
        <w:rPr>
          <w:rFonts w:hint="default" w:ascii="Times New Roman" w:hAnsi="Times New Roman" w:eastAsia="仿宋_GB2312" w:cs="Times New Roman"/>
          <w:color w:val="auto"/>
          <w:sz w:val="32"/>
          <w:szCs w:val="32"/>
          <w:highlight w:val="none"/>
          <w:shd w:val="clear" w:color="auto" w:fill="FFFFFF"/>
          <w:lang w:val="en-US" w:eastAsia="zh-CN"/>
        </w:rPr>
        <w:t>市中区矿区街道办事处未发生因政府信息公开被行政复议情况，未发生因公民、法人和其他组织认为行政机关政府信息公开工作具体行政行为侵犯其合法权益被提起行政诉讼情况。</w:t>
      </w:r>
    </w:p>
    <w:p w14:paraId="7B3E2AA1">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outlineLvl w:val="9"/>
        <w:rPr>
          <w:rFonts w:hint="default" w:ascii="Times New Roman" w:hAnsi="Times New Roman" w:eastAsia="楷体_GB2312" w:cs="Times New Roman"/>
          <w:bCs/>
          <w:color w:val="auto"/>
          <w:sz w:val="32"/>
          <w:szCs w:val="32"/>
          <w:highlight w:val="none"/>
          <w:lang w:val="en-US" w:eastAsia="zh-CN"/>
        </w:rPr>
      </w:pPr>
      <w:r>
        <w:rPr>
          <w:rFonts w:hint="default" w:ascii="Times New Roman" w:hAnsi="Times New Roman" w:eastAsia="楷体_GB2312" w:cs="Times New Roman"/>
          <w:bCs/>
          <w:color w:val="auto"/>
          <w:sz w:val="32"/>
          <w:szCs w:val="32"/>
          <w:highlight w:val="none"/>
          <w:lang w:val="en-US" w:eastAsia="zh-CN"/>
        </w:rPr>
        <w:t>（三）政府信息管理</w:t>
      </w:r>
    </w:p>
    <w:p w14:paraId="72B49F6E">
      <w:pPr>
        <w:keepNext w:val="0"/>
        <w:keepLines w:val="0"/>
        <w:pageBreakBefore w:val="0"/>
        <w:widowControl w:val="0"/>
        <w:kinsoku/>
        <w:wordWrap/>
        <w:overflowPunct w:val="0"/>
        <w:topLinePunct w:val="0"/>
        <w:autoSpaceDE w:val="0"/>
        <w:autoSpaceDN w:val="0"/>
        <w:bidi w:val="0"/>
        <w:adjustRightInd/>
        <w:snapToGrid/>
        <w:spacing w:line="560" w:lineRule="exact"/>
        <w:ind w:firstLine="640" w:firstLineChars="200"/>
        <w:contextualSpacing/>
        <w:jc w:val="both"/>
        <w:textAlignment w:val="auto"/>
        <w:outlineLvl w:val="9"/>
        <w:rPr>
          <w:rFonts w:hint="default" w:ascii="Times New Roman" w:hAnsi="Times New Roman" w:eastAsia="仿宋_GB2312" w:cs="Times New Roman"/>
          <w:color w:val="auto"/>
          <w:sz w:val="32"/>
          <w:szCs w:val="32"/>
          <w:highlight w:val="none"/>
          <w:shd w:val="clear" w:color="auto" w:fill="FFFFFF"/>
          <w:lang w:val="en-US" w:eastAsia="zh-CN"/>
        </w:rPr>
      </w:pPr>
      <w:r>
        <w:rPr>
          <w:rFonts w:hint="default" w:ascii="Times New Roman" w:hAnsi="Times New Roman" w:eastAsia="宋体" w:cs="Times New Roman"/>
          <w:color w:val="auto"/>
          <w:sz w:val="32"/>
          <w:szCs w:val="32"/>
          <w:highlight w:val="none"/>
          <w:shd w:val="clear" w:color="auto" w:fill="FFFFFF"/>
          <w:lang w:val="en-US" w:eastAsia="zh-CN"/>
        </w:rPr>
        <w:t>一是完善信息公开管理流程。</w:t>
      </w:r>
      <w:r>
        <w:rPr>
          <w:rFonts w:hint="default" w:ascii="Times New Roman" w:hAnsi="Times New Roman" w:eastAsia="仿宋_GB2312" w:cs="Times New Roman"/>
          <w:color w:val="auto"/>
          <w:sz w:val="32"/>
          <w:szCs w:val="32"/>
          <w:highlight w:val="none"/>
          <w:shd w:val="clear" w:color="auto" w:fill="FFFFFF"/>
          <w:lang w:val="en-US" w:eastAsia="zh-CN"/>
        </w:rPr>
        <w:t>建立政府信息公开工作全流程管理机制，安排专人负责信息公开传送。</w:t>
      </w:r>
    </w:p>
    <w:p w14:paraId="09A512C6">
      <w:pPr>
        <w:keepNext w:val="0"/>
        <w:keepLines w:val="0"/>
        <w:pageBreakBefore w:val="0"/>
        <w:widowControl w:val="0"/>
        <w:kinsoku/>
        <w:wordWrap/>
        <w:overflowPunct w:val="0"/>
        <w:topLinePunct w:val="0"/>
        <w:autoSpaceDE w:val="0"/>
        <w:autoSpaceDN w:val="0"/>
        <w:bidi w:val="0"/>
        <w:adjustRightInd/>
        <w:snapToGrid/>
        <w:spacing w:line="560" w:lineRule="exact"/>
        <w:ind w:firstLine="640" w:firstLineChars="200"/>
        <w:contextualSpacing/>
        <w:jc w:val="both"/>
        <w:textAlignment w:val="auto"/>
        <w:outlineLvl w:val="9"/>
        <w:rPr>
          <w:rFonts w:hint="default" w:ascii="Times New Roman" w:hAnsi="Times New Roman" w:eastAsia="仿宋_GB2312" w:cs="Times New Roman"/>
          <w:color w:val="auto"/>
          <w:sz w:val="32"/>
          <w:szCs w:val="32"/>
          <w:highlight w:val="none"/>
          <w:shd w:val="clear" w:color="auto" w:fill="FFFFFF"/>
          <w:lang w:val="en-US" w:eastAsia="zh-CN"/>
        </w:rPr>
      </w:pPr>
      <w:r>
        <w:rPr>
          <w:rFonts w:hint="default" w:ascii="Times New Roman" w:hAnsi="Times New Roman" w:eastAsia="宋体" w:cs="Times New Roman"/>
          <w:color w:val="auto"/>
          <w:sz w:val="32"/>
          <w:szCs w:val="32"/>
          <w:highlight w:val="none"/>
          <w:shd w:val="clear" w:color="auto" w:fill="FFFFFF"/>
          <w:lang w:val="en-US" w:eastAsia="zh-CN"/>
        </w:rPr>
        <w:t>二是严格做好公开信息保密审查。</w:t>
      </w:r>
      <w:r>
        <w:rPr>
          <w:rFonts w:hint="default" w:ascii="Times New Roman" w:hAnsi="Times New Roman" w:eastAsia="仿宋_GB2312" w:cs="Times New Roman"/>
          <w:color w:val="auto"/>
          <w:sz w:val="32"/>
          <w:szCs w:val="32"/>
          <w:highlight w:val="none"/>
          <w:shd w:val="clear" w:color="auto" w:fill="FFFFFF"/>
          <w:lang w:val="en-US" w:eastAsia="zh-CN"/>
        </w:rPr>
        <w:t>认真落实《中华人民共和国保守国家秘密法》《中华人民共和国政府信息公开条例》等规定，按照“先审查、后公开”的原则，严格做好政府信息公开保密审查，确保公开信息不涉密、涉密信息不公开。</w:t>
      </w:r>
    </w:p>
    <w:p w14:paraId="26ADDF47">
      <w:pPr>
        <w:keepNext w:val="0"/>
        <w:keepLines w:val="0"/>
        <w:pageBreakBefore w:val="0"/>
        <w:widowControl w:val="0"/>
        <w:kinsoku/>
        <w:wordWrap/>
        <w:overflowPunct w:val="0"/>
        <w:topLinePunct w:val="0"/>
        <w:autoSpaceDE w:val="0"/>
        <w:autoSpaceDN w:val="0"/>
        <w:bidi w:val="0"/>
        <w:adjustRightInd/>
        <w:snapToGrid/>
        <w:spacing w:line="560" w:lineRule="exact"/>
        <w:ind w:firstLine="640" w:firstLineChars="200"/>
        <w:contextualSpacing/>
        <w:jc w:val="both"/>
        <w:textAlignment w:val="auto"/>
        <w:outlineLvl w:val="9"/>
        <w:rPr>
          <w:rFonts w:hint="default" w:ascii="Times New Roman" w:hAnsi="Times New Roman" w:eastAsia="仿宋_GB2312" w:cs="Times New Roman"/>
          <w:color w:val="auto"/>
          <w:sz w:val="32"/>
          <w:szCs w:val="32"/>
          <w:highlight w:val="none"/>
          <w:shd w:val="clear" w:color="auto" w:fill="FFFFFF"/>
          <w:lang w:val="en-US" w:eastAsia="zh-CN"/>
        </w:rPr>
      </w:pPr>
      <w:r>
        <w:rPr>
          <w:rFonts w:hint="default" w:ascii="Times New Roman" w:hAnsi="Times New Roman" w:eastAsia="宋体" w:cs="Times New Roman"/>
          <w:color w:val="auto"/>
          <w:sz w:val="32"/>
          <w:szCs w:val="32"/>
          <w:highlight w:val="none"/>
          <w:shd w:val="clear" w:color="auto" w:fill="FFFFFF"/>
          <w:lang w:val="en-US" w:eastAsia="zh-CN"/>
        </w:rPr>
        <w:t>三是不断完善公开制度机制。</w:t>
      </w:r>
      <w:r>
        <w:rPr>
          <w:rFonts w:hint="default" w:ascii="Times New Roman" w:hAnsi="Times New Roman" w:eastAsia="仿宋_GB2312" w:cs="Times New Roman"/>
          <w:color w:val="auto"/>
          <w:sz w:val="32"/>
          <w:szCs w:val="32"/>
          <w:highlight w:val="none"/>
          <w:shd w:val="clear" w:color="auto" w:fill="FFFFFF"/>
          <w:lang w:val="en-US" w:eastAsia="zh-CN"/>
        </w:rPr>
        <w:t>2025年，全面落实“以公开为常态、不公开为例外”要求，主动、及时、规范、准确公开应当公开的政府信息，切实做到应公开尽公开，不断提升公开常态化、规范化、标准化水平。</w:t>
      </w:r>
    </w:p>
    <w:p w14:paraId="36DA3081">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outlineLvl w:val="9"/>
        <w:rPr>
          <w:rFonts w:hint="default" w:ascii="Times New Roman" w:hAnsi="Times New Roman" w:eastAsia="楷体_GB2312" w:cs="Times New Roman"/>
          <w:bCs/>
          <w:color w:val="auto"/>
          <w:sz w:val="32"/>
          <w:szCs w:val="32"/>
          <w:highlight w:val="none"/>
          <w:lang w:val="en-US" w:eastAsia="zh-CN"/>
        </w:rPr>
      </w:pPr>
      <w:r>
        <w:rPr>
          <w:rFonts w:hint="default" w:ascii="Times New Roman" w:hAnsi="Times New Roman" w:eastAsia="楷体_GB2312" w:cs="Times New Roman"/>
          <w:bCs/>
          <w:color w:val="auto"/>
          <w:sz w:val="32"/>
          <w:szCs w:val="32"/>
          <w:highlight w:val="none"/>
          <w:lang w:val="en-US" w:eastAsia="zh-CN"/>
        </w:rPr>
        <w:t>（四）政府信息公开平台建设</w:t>
      </w:r>
    </w:p>
    <w:p w14:paraId="54948B86">
      <w:pPr>
        <w:keepNext w:val="0"/>
        <w:keepLines w:val="0"/>
        <w:pageBreakBefore w:val="0"/>
        <w:widowControl w:val="0"/>
        <w:kinsoku/>
        <w:wordWrap/>
        <w:overflowPunct w:val="0"/>
        <w:topLinePunct w:val="0"/>
        <w:autoSpaceDE w:val="0"/>
        <w:autoSpaceDN w:val="0"/>
        <w:bidi w:val="0"/>
        <w:adjustRightInd/>
        <w:snapToGrid/>
        <w:spacing w:line="560" w:lineRule="exact"/>
        <w:ind w:firstLine="640" w:firstLineChars="200"/>
        <w:contextualSpacing/>
        <w:jc w:val="both"/>
        <w:textAlignment w:val="auto"/>
        <w:outlineLvl w:val="9"/>
        <w:rPr>
          <w:rFonts w:hint="default" w:ascii="Times New Roman" w:hAnsi="Times New Roman" w:eastAsia="仿宋_GB2312" w:cs="Times New Roman"/>
          <w:color w:val="auto"/>
          <w:sz w:val="32"/>
          <w:szCs w:val="32"/>
          <w:highlight w:val="yellow"/>
          <w:shd w:val="clear" w:color="auto" w:fill="FFFFFF"/>
          <w:lang w:val="en-US" w:eastAsia="zh-CN"/>
        </w:rPr>
      </w:pPr>
      <w:r>
        <w:rPr>
          <w:rFonts w:hint="default" w:ascii="Times New Roman" w:hAnsi="Times New Roman" w:eastAsia="仿宋_GB2312" w:cs="Times New Roman"/>
          <w:color w:val="auto"/>
          <w:sz w:val="32"/>
          <w:szCs w:val="32"/>
          <w:highlight w:val="none"/>
          <w:shd w:val="clear" w:color="auto" w:fill="FFFFFF"/>
          <w:lang w:val="en-US" w:eastAsia="zh-CN"/>
        </w:rPr>
        <w:t>依托“枣庄市市中区人民政府网站”、“政府信息公开专栏”等平台发布信息，推动政务公开信息向不同群体精准推送，提升群众获取政府信息的便利度和幸福感。</w:t>
      </w:r>
    </w:p>
    <w:p w14:paraId="7BC704EE">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outlineLvl w:val="9"/>
        <w:rPr>
          <w:rFonts w:hint="default" w:ascii="Times New Roman" w:hAnsi="Times New Roman" w:eastAsia="楷体_GB2312" w:cs="Times New Roman"/>
          <w:bCs/>
          <w:color w:val="auto"/>
          <w:sz w:val="32"/>
          <w:szCs w:val="32"/>
          <w:highlight w:val="none"/>
          <w:lang w:val="en-US" w:eastAsia="zh-CN"/>
        </w:rPr>
      </w:pPr>
      <w:r>
        <w:rPr>
          <w:rFonts w:hint="default" w:ascii="Times New Roman" w:hAnsi="Times New Roman" w:eastAsia="楷体_GB2312" w:cs="Times New Roman"/>
          <w:bCs/>
          <w:color w:val="auto"/>
          <w:sz w:val="32"/>
          <w:szCs w:val="32"/>
          <w:highlight w:val="none"/>
          <w:lang w:val="en-US" w:eastAsia="zh-CN"/>
        </w:rPr>
        <w:t>（五）监督保障</w:t>
      </w:r>
    </w:p>
    <w:p w14:paraId="4FE4D91D">
      <w:pPr>
        <w:keepNext w:val="0"/>
        <w:keepLines w:val="0"/>
        <w:pageBreakBefore w:val="0"/>
        <w:widowControl w:val="0"/>
        <w:kinsoku/>
        <w:wordWrap/>
        <w:overflowPunct w:val="0"/>
        <w:topLinePunct w:val="0"/>
        <w:autoSpaceDE w:val="0"/>
        <w:autoSpaceDN w:val="0"/>
        <w:bidi w:val="0"/>
        <w:adjustRightInd/>
        <w:snapToGrid/>
        <w:spacing w:line="560" w:lineRule="exact"/>
        <w:ind w:firstLine="640" w:firstLineChars="200"/>
        <w:contextualSpacing/>
        <w:jc w:val="both"/>
        <w:textAlignment w:val="auto"/>
        <w:outlineLvl w:val="9"/>
        <w:rPr>
          <w:rFonts w:hint="default" w:ascii="Times New Roman" w:hAnsi="Times New Roman" w:eastAsia="仿宋_GB2312" w:cs="Times New Roman"/>
          <w:color w:val="auto"/>
          <w:sz w:val="32"/>
          <w:szCs w:val="32"/>
          <w:highlight w:val="none"/>
          <w:shd w:val="clear" w:color="auto" w:fill="FFFFFF"/>
          <w:lang w:val="en-US" w:eastAsia="zh-CN"/>
        </w:rPr>
      </w:pPr>
      <w:r>
        <w:rPr>
          <w:rFonts w:hint="default" w:ascii="Times New Roman" w:hAnsi="Times New Roman" w:eastAsia="宋体" w:cs="Times New Roman"/>
          <w:color w:val="auto"/>
          <w:sz w:val="32"/>
          <w:szCs w:val="32"/>
          <w:highlight w:val="none"/>
          <w:shd w:val="clear" w:color="auto" w:fill="FFFFFF"/>
          <w:lang w:val="en-US" w:eastAsia="zh-CN"/>
        </w:rPr>
        <w:t>一是成立领导小组。</w:t>
      </w:r>
      <w:r>
        <w:rPr>
          <w:rFonts w:hint="default" w:ascii="Times New Roman" w:hAnsi="Times New Roman" w:eastAsia="仿宋_GB2312" w:cs="Times New Roman"/>
          <w:color w:val="auto"/>
          <w:sz w:val="32"/>
          <w:szCs w:val="32"/>
          <w:highlight w:val="none"/>
          <w:shd w:val="clear" w:color="auto" w:fill="FFFFFF"/>
          <w:lang w:val="en-US" w:eastAsia="zh-CN"/>
        </w:rPr>
        <w:t>矿区街道高度重视政府信息公开工作，成立由办事处主任任组长，相关科级干部任副组长、各部门负责人为成员的政务公开领导小组，统一组织、协调和指导街道政务公开工作。结合实际，明确工作任务，落实工作责任，做到一级抓一级，层层抓落实，推动政府信息公开落实落细，确保了政务公开工作的有序开展。</w:t>
      </w:r>
    </w:p>
    <w:p w14:paraId="04FB559E">
      <w:pPr>
        <w:keepNext w:val="0"/>
        <w:keepLines w:val="0"/>
        <w:pageBreakBefore w:val="0"/>
        <w:widowControl w:val="0"/>
        <w:kinsoku/>
        <w:wordWrap/>
        <w:overflowPunct w:val="0"/>
        <w:topLinePunct w:val="0"/>
        <w:autoSpaceDE w:val="0"/>
        <w:autoSpaceDN w:val="0"/>
        <w:bidi w:val="0"/>
        <w:adjustRightInd/>
        <w:snapToGrid/>
        <w:spacing w:line="560" w:lineRule="exact"/>
        <w:ind w:firstLine="640" w:firstLineChars="200"/>
        <w:contextualSpacing/>
        <w:jc w:val="both"/>
        <w:textAlignment w:val="auto"/>
        <w:outlineLvl w:val="9"/>
        <w:rPr>
          <w:rFonts w:hint="default" w:ascii="Times New Roman" w:hAnsi="Times New Roman" w:eastAsia="仿宋_GB2312" w:cs="Times New Roman"/>
          <w:color w:val="auto"/>
          <w:sz w:val="32"/>
          <w:szCs w:val="32"/>
          <w:highlight w:val="none"/>
          <w:shd w:val="clear" w:color="auto" w:fill="FFFFFF"/>
          <w:lang w:val="en-US" w:eastAsia="zh-CN"/>
        </w:rPr>
      </w:pPr>
      <w:r>
        <w:rPr>
          <w:rFonts w:hint="default" w:ascii="Times New Roman" w:hAnsi="Times New Roman" w:eastAsia="宋体" w:cs="Times New Roman"/>
          <w:color w:val="auto"/>
          <w:sz w:val="32"/>
          <w:szCs w:val="32"/>
          <w:highlight w:val="none"/>
          <w:shd w:val="clear" w:color="auto" w:fill="FFFFFF"/>
          <w:lang w:val="en-US" w:eastAsia="zh-CN"/>
        </w:rPr>
        <w:t>二是畅通反馈渠道。</w:t>
      </w:r>
      <w:r>
        <w:rPr>
          <w:rFonts w:hint="default" w:ascii="Times New Roman" w:hAnsi="Times New Roman" w:eastAsia="仿宋_GB2312" w:cs="Times New Roman"/>
          <w:color w:val="auto"/>
          <w:sz w:val="32"/>
          <w:szCs w:val="32"/>
          <w:highlight w:val="none"/>
          <w:shd w:val="clear" w:color="auto" w:fill="FFFFFF"/>
          <w:lang w:val="en-US" w:eastAsia="zh-CN"/>
        </w:rPr>
        <w:t>依托政务服务大厅、社区服务站、政务新媒体等平台，设立政务公开意见箱、开通咨询热线，主动收集群众对政务公开工作的意见建议。建立意见反馈闭环管理机制，对群众反映的问题及时梳理、分类处置、限期回应，不断提升群众满意度。</w:t>
      </w:r>
    </w:p>
    <w:p w14:paraId="76C85E1B">
      <w:pPr>
        <w:keepNext w:val="0"/>
        <w:keepLines w:val="0"/>
        <w:pageBreakBefore w:val="0"/>
        <w:widowControl w:val="0"/>
        <w:suppressLineNumbers w:val="0"/>
        <w:kinsoku/>
        <w:wordWrap/>
        <w:overflowPunct w:val="0"/>
        <w:topLinePunct w:val="0"/>
        <w:autoSpaceDE w:val="0"/>
        <w:autoSpaceDN w:val="0"/>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FFFFFF"/>
          <w:lang w:val="en-US" w:eastAsia="zh-CN"/>
        </w:rPr>
      </w:pPr>
      <w:r>
        <w:rPr>
          <w:rFonts w:hint="default" w:ascii="Times New Roman" w:hAnsi="Times New Roman" w:eastAsia="宋体" w:cs="Times New Roman"/>
          <w:color w:val="auto"/>
          <w:sz w:val="32"/>
          <w:szCs w:val="32"/>
          <w:highlight w:val="none"/>
          <w:shd w:val="clear" w:color="auto" w:fill="FFFFFF"/>
          <w:lang w:val="en-US" w:eastAsia="zh-CN"/>
        </w:rPr>
        <w:t>三是强化保密审查。</w:t>
      </w:r>
      <w:r>
        <w:rPr>
          <w:rFonts w:hint="default" w:ascii="Times New Roman" w:hAnsi="Times New Roman" w:eastAsia="仿宋_GB2312" w:cs="Times New Roman"/>
          <w:color w:val="auto"/>
          <w:sz w:val="32"/>
          <w:szCs w:val="32"/>
          <w:highlight w:val="none"/>
          <w:shd w:val="clear" w:color="auto" w:fill="FFFFFF"/>
          <w:lang w:val="en-US" w:eastAsia="zh-CN"/>
        </w:rPr>
        <w:t>严格执行政务公开保密审查制度，明确审查主体、审查流程和审查责任，对拟公开的政府信息实行“先审查、后公开”“一事一审”。加强与保密部门的协同联动，定期开展保密审查专项检查，严防涉密信息泄露，确保政务公开与信息安全两不误。</w:t>
      </w:r>
    </w:p>
    <w:p w14:paraId="740018DA">
      <w:pPr>
        <w:pStyle w:val="13"/>
        <w:keepNext w:val="0"/>
        <w:keepLines w:val="0"/>
        <w:pageBreakBefore w:val="0"/>
        <w:kinsoku/>
        <w:wordWrap/>
        <w:overflowPunct/>
        <w:topLinePunct w:val="0"/>
        <w:autoSpaceDE/>
        <w:autoSpaceDN/>
        <w:bidi w:val="0"/>
        <w:adjustRightInd/>
        <w:snapToGrid/>
        <w:spacing w:line="560" w:lineRule="exact"/>
        <w:ind w:firstLine="580"/>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二、</w:t>
      </w:r>
      <w:r>
        <w:rPr>
          <w:rFonts w:hint="default" w:ascii="Times New Roman" w:hAnsi="Times New Roman" w:eastAsia="黑体" w:cs="Times New Roman"/>
          <w:bCs/>
          <w:color w:val="auto"/>
          <w:sz w:val="32"/>
          <w:szCs w:val="32"/>
        </w:rPr>
        <w:t>主动公开政府信息情况</w:t>
      </w:r>
    </w:p>
    <w:tbl>
      <w:tblPr>
        <w:tblStyle w:val="7"/>
        <w:tblW w:w="8824" w:type="dxa"/>
        <w:tblInd w:w="0" w:type="dxa"/>
        <w:tblLayout w:type="fixed"/>
        <w:tblCellMar>
          <w:top w:w="0" w:type="dxa"/>
          <w:left w:w="108" w:type="dxa"/>
          <w:bottom w:w="0" w:type="dxa"/>
          <w:right w:w="108" w:type="dxa"/>
        </w:tblCellMar>
      </w:tblPr>
      <w:tblGrid>
        <w:gridCol w:w="2206"/>
        <w:gridCol w:w="2206"/>
        <w:gridCol w:w="2206"/>
        <w:gridCol w:w="2206"/>
      </w:tblGrid>
      <w:tr w14:paraId="37102E24">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3072E364">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第二十条第（一）项</w:t>
            </w:r>
          </w:p>
        </w:tc>
      </w:tr>
      <w:tr w14:paraId="54AB06FC">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ABE400D">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31BB6FAC">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4317998E">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4B6C698D">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14:paraId="2AC2116F">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62D0E07">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01404ABA">
            <w:pPr>
              <w:widowControl/>
              <w:jc w:val="center"/>
              <w:rPr>
                <w:rFonts w:hint="default" w:ascii="Times New Roman" w:hAnsi="Times New Roman" w:eastAsia="仿宋_GB2312" w:cs="Times New Roman"/>
                <w:color w:val="000000"/>
                <w:kern w:val="0"/>
                <w:szCs w:val="21"/>
                <w:lang w:eastAsia="zh-CN"/>
              </w:rPr>
            </w:pPr>
            <w:r>
              <w:rPr>
                <w:rFonts w:hint="default" w:ascii="Times New Roman" w:hAnsi="Times New Roman"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6D82905D">
            <w:pPr>
              <w:widowControl/>
              <w:jc w:val="center"/>
              <w:rPr>
                <w:rFonts w:hint="default" w:ascii="Times New Roman" w:hAnsi="Times New Roman" w:eastAsia="仿宋_GB2312" w:cs="Times New Roman"/>
                <w:color w:val="000000"/>
                <w:kern w:val="0"/>
                <w:szCs w:val="21"/>
                <w:lang w:eastAsia="zh-CN"/>
              </w:rPr>
            </w:pPr>
            <w:r>
              <w:rPr>
                <w:rFonts w:hint="default" w:ascii="Times New Roman" w:hAnsi="Times New Roman"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48017703">
            <w:pPr>
              <w:widowControl/>
              <w:jc w:val="center"/>
              <w:rPr>
                <w:rFonts w:hint="default" w:ascii="Times New Roman" w:hAnsi="Times New Roman" w:eastAsia="仿宋_GB2312" w:cs="Times New Roman"/>
                <w:color w:val="000000"/>
                <w:kern w:val="0"/>
                <w:szCs w:val="21"/>
                <w:lang w:eastAsia="zh-CN"/>
              </w:rPr>
            </w:pPr>
            <w:r>
              <w:rPr>
                <w:rFonts w:hint="default" w:ascii="Times New Roman" w:hAnsi="Times New Roman" w:eastAsia="仿宋_GB2312" w:cs="Times New Roman"/>
                <w:color w:val="000000"/>
                <w:kern w:val="0"/>
                <w:szCs w:val="21"/>
                <w:lang w:val="en-US" w:eastAsia="zh-CN"/>
              </w:rPr>
              <w:t>0</w:t>
            </w:r>
          </w:p>
        </w:tc>
      </w:tr>
      <w:tr w14:paraId="1782F812">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4B0B582">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70D4E569">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172A1001">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391BD93E">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r w14:paraId="1B64AFD0">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7BEC50AF">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第二十条第（五）项</w:t>
            </w:r>
          </w:p>
        </w:tc>
      </w:tr>
      <w:tr w14:paraId="0E34E63A">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3AEFB2C">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42BEE54">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0A1AAFF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642AAA4">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FEE299D">
            <w:pPr>
              <w:widowControl/>
              <w:jc w:val="center"/>
              <w:rPr>
                <w:rFonts w:hint="default" w:ascii="Times New Roman" w:hAnsi="Times New Roman" w:eastAsia="仿宋_GB2312" w:cs="Times New Roman"/>
                <w:color w:val="000000"/>
                <w:kern w:val="0"/>
                <w:szCs w:val="21"/>
                <w:lang w:eastAsia="zh-CN"/>
              </w:rPr>
            </w:pPr>
            <w:r>
              <w:rPr>
                <w:rFonts w:hint="default" w:ascii="Times New Roman" w:hAnsi="Times New Roman" w:eastAsia="仿宋_GB2312" w:cs="Times New Roman"/>
                <w:color w:val="000000"/>
                <w:kern w:val="0"/>
                <w:szCs w:val="21"/>
                <w:lang w:val="en-US" w:eastAsia="zh-CN"/>
              </w:rPr>
              <w:t>0</w:t>
            </w:r>
          </w:p>
        </w:tc>
      </w:tr>
      <w:tr w14:paraId="1FBEF3BE">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4D2DB062">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第二十条第（六）项</w:t>
            </w:r>
          </w:p>
        </w:tc>
      </w:tr>
      <w:tr w14:paraId="7B10632A">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09D9FDF">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179210C">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4B31D80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CD261D9">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C576E3C">
            <w:pPr>
              <w:widowControl/>
              <w:jc w:val="center"/>
              <w:rPr>
                <w:rFonts w:hint="default" w:ascii="Times New Roman" w:hAnsi="Times New Roman" w:eastAsia="仿宋_GB2312" w:cs="Times New Roman"/>
                <w:color w:val="000000"/>
                <w:kern w:val="0"/>
                <w:szCs w:val="21"/>
                <w:lang w:eastAsia="zh-CN"/>
              </w:rPr>
            </w:pPr>
            <w:r>
              <w:rPr>
                <w:rFonts w:hint="default" w:ascii="Times New Roman" w:hAnsi="Times New Roman" w:eastAsia="仿宋_GB2312" w:cs="Times New Roman"/>
                <w:color w:val="000000"/>
                <w:kern w:val="0"/>
                <w:szCs w:val="21"/>
                <w:lang w:val="en-US" w:eastAsia="zh-CN"/>
              </w:rPr>
              <w:t>0</w:t>
            </w:r>
          </w:p>
        </w:tc>
      </w:tr>
      <w:tr w14:paraId="0448A87E">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064A53F">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1048062">
            <w:pPr>
              <w:widowControl/>
              <w:jc w:val="center"/>
              <w:rPr>
                <w:rFonts w:hint="default" w:ascii="Times New Roman" w:hAnsi="Times New Roman" w:eastAsia="仿宋_GB2312" w:cs="Times New Roman"/>
                <w:color w:val="000000"/>
                <w:kern w:val="0"/>
                <w:szCs w:val="21"/>
                <w:lang w:eastAsia="zh-CN"/>
              </w:rPr>
            </w:pPr>
            <w:r>
              <w:rPr>
                <w:rFonts w:hint="default" w:ascii="Times New Roman" w:hAnsi="Times New Roman" w:eastAsia="仿宋_GB2312" w:cs="Times New Roman"/>
                <w:color w:val="000000"/>
                <w:kern w:val="0"/>
                <w:szCs w:val="21"/>
                <w:lang w:val="en-US" w:eastAsia="zh-CN"/>
              </w:rPr>
              <w:t>0</w:t>
            </w:r>
          </w:p>
        </w:tc>
      </w:tr>
      <w:tr w14:paraId="49D18DF5">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5CDED96F">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第二十条第（八）项</w:t>
            </w:r>
          </w:p>
        </w:tc>
      </w:tr>
      <w:tr w14:paraId="3A6CF0E9">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56A45D2">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02A88553">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本年收费金额（单位：万元）</w:t>
            </w:r>
          </w:p>
        </w:tc>
      </w:tr>
      <w:tr w14:paraId="4265901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F91FA43">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002832E">
            <w:pPr>
              <w:widowControl/>
              <w:jc w:val="center"/>
              <w:rPr>
                <w:rFonts w:hint="default" w:ascii="Times New Roman" w:hAnsi="Times New Roman" w:eastAsia="仿宋_GB2312" w:cs="Times New Roman"/>
                <w:color w:val="000000"/>
                <w:kern w:val="0"/>
                <w:szCs w:val="21"/>
                <w:lang w:eastAsia="zh-CN"/>
              </w:rPr>
            </w:pPr>
            <w:r>
              <w:rPr>
                <w:rFonts w:hint="default" w:ascii="Times New Roman" w:hAnsi="Times New Roman" w:eastAsia="仿宋_GB2312" w:cs="Times New Roman"/>
                <w:color w:val="000000"/>
                <w:kern w:val="0"/>
                <w:szCs w:val="21"/>
                <w:lang w:val="en-US" w:eastAsia="zh-CN"/>
              </w:rPr>
              <w:t>0</w:t>
            </w:r>
          </w:p>
        </w:tc>
      </w:tr>
    </w:tbl>
    <w:p w14:paraId="4344C0C7">
      <w:pPr>
        <w:pStyle w:val="13"/>
        <w:keepNext w:val="0"/>
        <w:keepLines w:val="0"/>
        <w:pageBreakBefore w:val="0"/>
        <w:kinsoku/>
        <w:wordWrap/>
        <w:overflowPunct/>
        <w:topLinePunct w:val="0"/>
        <w:autoSpaceDE/>
        <w:autoSpaceDN/>
        <w:bidi w:val="0"/>
        <w:adjustRightInd/>
        <w:snapToGrid/>
        <w:spacing w:line="560" w:lineRule="exact"/>
        <w:ind w:firstLine="600"/>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三、</w:t>
      </w:r>
      <w:r>
        <w:rPr>
          <w:rFonts w:hint="default" w:ascii="Times New Roman" w:hAnsi="Times New Roman" w:eastAsia="黑体" w:cs="Times New Roman"/>
          <w:bCs/>
          <w:color w:val="auto"/>
          <w:sz w:val="32"/>
          <w:szCs w:val="32"/>
        </w:rPr>
        <w:t>收到和处理政府信息公开申请情况</w:t>
      </w:r>
    </w:p>
    <w:tbl>
      <w:tblPr>
        <w:tblStyle w:val="7"/>
        <w:tblW w:w="892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018"/>
        <w:gridCol w:w="1065"/>
        <w:gridCol w:w="2350"/>
        <w:gridCol w:w="547"/>
        <w:gridCol w:w="700"/>
        <w:gridCol w:w="700"/>
        <w:gridCol w:w="867"/>
        <w:gridCol w:w="698"/>
        <w:gridCol w:w="491"/>
        <w:gridCol w:w="485"/>
      </w:tblGrid>
      <w:tr w14:paraId="6977E3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350" w:type="dxa"/>
            <w:gridSpan w:val="3"/>
            <w:vMerge w:val="restart"/>
            <w:shd w:val="clear" w:color="auto" w:fill="auto"/>
            <w:tcMar>
              <w:left w:w="108" w:type="dxa"/>
              <w:right w:w="108" w:type="dxa"/>
            </w:tcMar>
            <w:vAlign w:val="center"/>
          </w:tcPr>
          <w:p w14:paraId="53F94CB7">
            <w:pPr>
              <w:widowControl/>
              <w:snapToGrid w:val="0"/>
              <w:ind w:left="0" w:leftChars="0" w:right="0" w:rightChars="0" w:firstLine="0" w:firstLineChars="0"/>
              <w:jc w:val="center"/>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（本列数据的勾稽关系为：第一项加第二项之和，等于第三项加第四项之和）</w:t>
            </w:r>
          </w:p>
        </w:tc>
        <w:tc>
          <w:tcPr>
            <w:tcW w:w="485" w:type="dxa"/>
            <w:gridSpan w:val="7"/>
            <w:shd w:val="clear" w:color="auto" w:fill="auto"/>
            <w:tcMar>
              <w:left w:w="108" w:type="dxa"/>
              <w:right w:w="108" w:type="dxa"/>
            </w:tcMar>
            <w:vAlign w:val="center"/>
          </w:tcPr>
          <w:p w14:paraId="5DDC3798">
            <w:pPr>
              <w:widowControl/>
              <w:snapToGrid w:val="0"/>
              <w:spacing w:line="240" w:lineRule="auto"/>
              <w:ind w:left="0" w:leftChars="0" w:right="0" w:rightChars="0" w:firstLine="0" w:firstLineChars="0"/>
              <w:jc w:val="center"/>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申请人情况</w:t>
            </w:r>
          </w:p>
        </w:tc>
      </w:tr>
      <w:tr w14:paraId="4DB324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350" w:type="dxa"/>
            <w:gridSpan w:val="3"/>
            <w:vMerge w:val="continue"/>
            <w:shd w:val="clear" w:color="auto" w:fill="auto"/>
            <w:tcMar>
              <w:left w:w="108" w:type="dxa"/>
              <w:right w:w="108" w:type="dxa"/>
            </w:tcMar>
            <w:vAlign w:val="center"/>
          </w:tcPr>
          <w:p w14:paraId="00D9E1F0">
            <w:pPr>
              <w:snapToGrid w:val="0"/>
              <w:ind w:left="0" w:leftChars="0" w:right="0" w:rightChars="0" w:firstLine="0" w:firstLineChars="0"/>
              <w:jc w:val="center"/>
              <w:rPr>
                <w:rFonts w:hint="default" w:ascii="Times New Roman" w:hAnsi="Times New Roman" w:eastAsia="黑体" w:cs="Times New Roman"/>
                <w:b/>
                <w:kern w:val="2"/>
                <w:sz w:val="21"/>
                <w:szCs w:val="21"/>
                <w:lang w:eastAsia="zh-CN" w:bidi="ar-SA"/>
              </w:rPr>
            </w:pPr>
          </w:p>
        </w:tc>
        <w:tc>
          <w:tcPr>
            <w:tcW w:w="547" w:type="dxa"/>
            <w:vMerge w:val="restart"/>
            <w:shd w:val="clear" w:color="auto" w:fill="auto"/>
            <w:tcMar>
              <w:left w:w="108" w:type="dxa"/>
              <w:right w:w="108" w:type="dxa"/>
            </w:tcMar>
            <w:vAlign w:val="center"/>
          </w:tcPr>
          <w:p w14:paraId="08E9113A">
            <w:pPr>
              <w:widowControl/>
              <w:snapToGrid w:val="0"/>
              <w:ind w:left="0" w:leftChars="0" w:right="0" w:rightChars="0" w:firstLine="0" w:firstLineChars="0"/>
              <w:jc w:val="center"/>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自然人</w:t>
            </w:r>
          </w:p>
        </w:tc>
        <w:tc>
          <w:tcPr>
            <w:tcW w:w="491" w:type="dxa"/>
            <w:gridSpan w:val="5"/>
            <w:shd w:val="clear" w:color="auto" w:fill="auto"/>
            <w:tcMar>
              <w:left w:w="108" w:type="dxa"/>
              <w:right w:w="108" w:type="dxa"/>
            </w:tcMar>
            <w:vAlign w:val="center"/>
          </w:tcPr>
          <w:p w14:paraId="1B72969B">
            <w:pPr>
              <w:widowControl/>
              <w:snapToGrid w:val="0"/>
              <w:spacing w:line="240" w:lineRule="auto"/>
              <w:ind w:left="0" w:leftChars="0" w:right="0" w:rightChars="0" w:firstLine="0" w:firstLineChars="0"/>
              <w:jc w:val="center"/>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法人或其他组织</w:t>
            </w:r>
          </w:p>
        </w:tc>
        <w:tc>
          <w:tcPr>
            <w:tcW w:w="485" w:type="dxa"/>
            <w:vMerge w:val="restart"/>
            <w:shd w:val="clear" w:color="auto" w:fill="auto"/>
            <w:tcMar>
              <w:left w:w="108" w:type="dxa"/>
              <w:right w:w="108" w:type="dxa"/>
            </w:tcMar>
            <w:vAlign w:val="center"/>
          </w:tcPr>
          <w:p w14:paraId="69186415">
            <w:pPr>
              <w:widowControl/>
              <w:snapToGrid w:val="0"/>
              <w:ind w:left="0" w:leftChars="0" w:right="0" w:rightChars="0" w:firstLine="0" w:firstLineChars="0"/>
              <w:jc w:val="center"/>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总计</w:t>
            </w:r>
          </w:p>
        </w:tc>
      </w:tr>
      <w:tr w14:paraId="4DFD7B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350" w:type="dxa"/>
            <w:gridSpan w:val="3"/>
            <w:vMerge w:val="continue"/>
            <w:shd w:val="clear" w:color="auto" w:fill="auto"/>
            <w:tcMar>
              <w:left w:w="108" w:type="dxa"/>
              <w:right w:w="108" w:type="dxa"/>
            </w:tcMar>
            <w:vAlign w:val="center"/>
          </w:tcPr>
          <w:p w14:paraId="099C847D">
            <w:pPr>
              <w:snapToGrid w:val="0"/>
              <w:ind w:left="0" w:leftChars="0" w:right="0" w:rightChars="0" w:firstLine="0" w:firstLineChars="0"/>
              <w:jc w:val="center"/>
              <w:rPr>
                <w:rFonts w:hint="default" w:ascii="Times New Roman" w:hAnsi="Times New Roman" w:eastAsia="黑体" w:cs="Times New Roman"/>
                <w:b/>
                <w:kern w:val="2"/>
                <w:sz w:val="21"/>
                <w:szCs w:val="21"/>
                <w:lang w:eastAsia="zh-CN" w:bidi="ar-SA"/>
              </w:rPr>
            </w:pPr>
          </w:p>
        </w:tc>
        <w:tc>
          <w:tcPr>
            <w:tcW w:w="547" w:type="dxa"/>
            <w:vMerge w:val="continue"/>
            <w:shd w:val="clear" w:color="auto" w:fill="auto"/>
            <w:tcMar>
              <w:left w:w="108" w:type="dxa"/>
              <w:right w:w="108" w:type="dxa"/>
            </w:tcMar>
            <w:vAlign w:val="center"/>
          </w:tcPr>
          <w:p w14:paraId="51382D12">
            <w:pPr>
              <w:snapToGrid w:val="0"/>
              <w:ind w:left="0" w:leftChars="0" w:right="0" w:rightChars="0" w:firstLine="0" w:firstLineChars="0"/>
              <w:jc w:val="center"/>
              <w:rPr>
                <w:rFonts w:hint="default" w:ascii="Times New Roman" w:hAnsi="Times New Roman" w:eastAsia="黑体" w:cs="Times New Roman"/>
                <w:b/>
                <w:kern w:val="2"/>
                <w:sz w:val="21"/>
                <w:szCs w:val="21"/>
                <w:lang w:eastAsia="zh-CN" w:bidi="ar-SA"/>
              </w:rPr>
            </w:pPr>
          </w:p>
        </w:tc>
        <w:tc>
          <w:tcPr>
            <w:tcW w:w="700" w:type="dxa"/>
            <w:shd w:val="clear" w:color="auto" w:fill="auto"/>
            <w:tcMar>
              <w:left w:w="108" w:type="dxa"/>
              <w:right w:w="108" w:type="dxa"/>
            </w:tcMar>
            <w:vAlign w:val="center"/>
          </w:tcPr>
          <w:p w14:paraId="5F9508F8">
            <w:pPr>
              <w:widowControl/>
              <w:snapToGrid w:val="0"/>
              <w:spacing w:line="240" w:lineRule="auto"/>
              <w:ind w:left="0" w:leftChars="0" w:right="0" w:rightChars="0" w:firstLine="0" w:firstLineChars="0"/>
              <w:jc w:val="center"/>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商业企业</w:t>
            </w:r>
          </w:p>
        </w:tc>
        <w:tc>
          <w:tcPr>
            <w:tcW w:w="700" w:type="dxa"/>
            <w:shd w:val="clear" w:color="auto" w:fill="auto"/>
            <w:tcMar>
              <w:left w:w="108" w:type="dxa"/>
              <w:right w:w="108" w:type="dxa"/>
            </w:tcMar>
            <w:vAlign w:val="center"/>
          </w:tcPr>
          <w:p w14:paraId="229E0B88">
            <w:pPr>
              <w:widowControl/>
              <w:snapToGrid w:val="0"/>
              <w:spacing w:line="240" w:lineRule="auto"/>
              <w:ind w:left="0" w:leftChars="0" w:right="0" w:rightChars="0" w:firstLine="0" w:firstLineChars="0"/>
              <w:jc w:val="center"/>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科研机构</w:t>
            </w:r>
          </w:p>
        </w:tc>
        <w:tc>
          <w:tcPr>
            <w:tcW w:w="867" w:type="dxa"/>
            <w:shd w:val="clear" w:color="auto" w:fill="auto"/>
            <w:tcMar>
              <w:left w:w="108" w:type="dxa"/>
              <w:right w:w="108" w:type="dxa"/>
            </w:tcMar>
            <w:vAlign w:val="center"/>
          </w:tcPr>
          <w:p w14:paraId="1EC312ED">
            <w:pPr>
              <w:widowControl/>
              <w:snapToGrid w:val="0"/>
              <w:spacing w:line="240" w:lineRule="auto"/>
              <w:ind w:left="0" w:leftChars="0" w:right="0" w:rightChars="0" w:firstLine="0" w:firstLineChars="0"/>
              <w:jc w:val="center"/>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社会公益组织</w:t>
            </w:r>
          </w:p>
        </w:tc>
        <w:tc>
          <w:tcPr>
            <w:tcW w:w="698" w:type="dxa"/>
            <w:shd w:val="clear" w:color="auto" w:fill="auto"/>
            <w:tcMar>
              <w:left w:w="108" w:type="dxa"/>
              <w:right w:w="108" w:type="dxa"/>
            </w:tcMar>
            <w:vAlign w:val="center"/>
          </w:tcPr>
          <w:p w14:paraId="07F92C7D">
            <w:pPr>
              <w:widowControl/>
              <w:snapToGrid w:val="0"/>
              <w:spacing w:line="240" w:lineRule="auto"/>
              <w:ind w:left="0" w:leftChars="0" w:right="0" w:rightChars="0" w:firstLine="0" w:firstLineChars="0"/>
              <w:jc w:val="center"/>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法律服务机构</w:t>
            </w:r>
          </w:p>
        </w:tc>
        <w:tc>
          <w:tcPr>
            <w:tcW w:w="491" w:type="dxa"/>
            <w:shd w:val="clear" w:color="auto" w:fill="auto"/>
            <w:tcMar>
              <w:left w:w="108" w:type="dxa"/>
              <w:right w:w="108" w:type="dxa"/>
            </w:tcMar>
            <w:vAlign w:val="center"/>
          </w:tcPr>
          <w:p w14:paraId="206313A1">
            <w:pPr>
              <w:widowControl/>
              <w:snapToGrid w:val="0"/>
              <w:spacing w:line="240" w:lineRule="auto"/>
              <w:ind w:left="0" w:leftChars="0" w:right="0" w:rightChars="0" w:firstLine="0" w:firstLineChars="0"/>
              <w:jc w:val="center"/>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其他</w:t>
            </w:r>
          </w:p>
        </w:tc>
        <w:tc>
          <w:tcPr>
            <w:tcW w:w="485" w:type="dxa"/>
            <w:vMerge w:val="continue"/>
            <w:shd w:val="clear" w:color="auto" w:fill="auto"/>
            <w:tcMar>
              <w:left w:w="108" w:type="dxa"/>
              <w:right w:w="108" w:type="dxa"/>
            </w:tcMar>
            <w:vAlign w:val="center"/>
          </w:tcPr>
          <w:p w14:paraId="2919416A">
            <w:pPr>
              <w:snapToGrid w:val="0"/>
              <w:ind w:left="0" w:leftChars="0" w:right="0" w:rightChars="0" w:firstLine="0" w:firstLineChars="0"/>
              <w:jc w:val="center"/>
              <w:rPr>
                <w:rFonts w:hint="default" w:ascii="Times New Roman" w:hAnsi="Times New Roman" w:eastAsia="黑体" w:cs="Times New Roman"/>
                <w:b/>
                <w:kern w:val="2"/>
                <w:sz w:val="21"/>
                <w:szCs w:val="21"/>
                <w:lang w:eastAsia="zh-CN" w:bidi="ar-SA"/>
              </w:rPr>
            </w:pPr>
          </w:p>
        </w:tc>
      </w:tr>
      <w:tr w14:paraId="673999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350" w:type="dxa"/>
            <w:gridSpan w:val="3"/>
            <w:shd w:val="clear" w:color="auto" w:fill="auto"/>
            <w:tcMar>
              <w:left w:w="108" w:type="dxa"/>
              <w:right w:w="108" w:type="dxa"/>
            </w:tcMar>
            <w:vAlign w:val="center"/>
          </w:tcPr>
          <w:p w14:paraId="674474D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一、</w:t>
            </w:r>
            <w:bookmarkStart w:id="0" w:name="_Hlk66973412"/>
            <w:r>
              <w:rPr>
                <w:rFonts w:hint="default" w:ascii="Times New Roman" w:hAnsi="Times New Roman" w:eastAsia="仿宋_GB2312" w:cs="Times New Roman"/>
                <w:kern w:val="0"/>
                <w:sz w:val="21"/>
                <w:szCs w:val="21"/>
                <w:lang w:eastAsia="zh-CN" w:bidi="ar-SA"/>
              </w:rPr>
              <w:t>本年新收政府信息公开申请数量</w:t>
            </w:r>
            <w:bookmarkEnd w:id="0"/>
          </w:p>
        </w:tc>
        <w:tc>
          <w:tcPr>
            <w:tcW w:w="547" w:type="dxa"/>
            <w:shd w:val="clear" w:color="auto" w:fill="auto"/>
            <w:tcMar>
              <w:left w:w="108" w:type="dxa"/>
              <w:right w:w="108" w:type="dxa"/>
            </w:tcMar>
            <w:vAlign w:val="center"/>
          </w:tcPr>
          <w:p w14:paraId="5005E1A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1</w:t>
            </w:r>
          </w:p>
        </w:tc>
        <w:tc>
          <w:tcPr>
            <w:tcW w:w="700" w:type="dxa"/>
            <w:shd w:val="clear" w:color="auto" w:fill="auto"/>
            <w:tcMar>
              <w:left w:w="108" w:type="dxa"/>
              <w:right w:w="108" w:type="dxa"/>
            </w:tcMar>
            <w:vAlign w:val="center"/>
          </w:tcPr>
          <w:p w14:paraId="1C912E9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782B69A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747DE8D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8" w:type="dxa"/>
            <w:shd w:val="clear" w:color="auto" w:fill="auto"/>
            <w:tcMar>
              <w:left w:w="108" w:type="dxa"/>
              <w:right w:w="108" w:type="dxa"/>
            </w:tcMar>
            <w:vAlign w:val="center"/>
          </w:tcPr>
          <w:p w14:paraId="2C83233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6A9C255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5" w:type="dxa"/>
            <w:shd w:val="clear" w:color="auto" w:fill="auto"/>
            <w:tcMar>
              <w:left w:w="108" w:type="dxa"/>
              <w:right w:w="108" w:type="dxa"/>
            </w:tcMar>
            <w:vAlign w:val="center"/>
          </w:tcPr>
          <w:p w14:paraId="17A7A6B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1</w:t>
            </w:r>
          </w:p>
        </w:tc>
      </w:tr>
      <w:tr w14:paraId="45CB5F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350" w:type="dxa"/>
            <w:gridSpan w:val="3"/>
            <w:shd w:val="clear" w:color="auto" w:fill="auto"/>
            <w:tcMar>
              <w:left w:w="108" w:type="dxa"/>
              <w:right w:w="108" w:type="dxa"/>
            </w:tcMar>
            <w:vAlign w:val="center"/>
          </w:tcPr>
          <w:p w14:paraId="614C3D5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二、上年结转政府信息公开申请数量</w:t>
            </w:r>
          </w:p>
        </w:tc>
        <w:tc>
          <w:tcPr>
            <w:tcW w:w="547" w:type="dxa"/>
            <w:shd w:val="clear" w:color="auto" w:fill="auto"/>
            <w:tcMar>
              <w:left w:w="108" w:type="dxa"/>
              <w:right w:w="108" w:type="dxa"/>
            </w:tcMar>
            <w:vAlign w:val="center"/>
          </w:tcPr>
          <w:p w14:paraId="7B70E06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657EF92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3F05C70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75C59E9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8" w:type="dxa"/>
            <w:shd w:val="clear" w:color="auto" w:fill="auto"/>
            <w:tcMar>
              <w:left w:w="108" w:type="dxa"/>
              <w:right w:w="108" w:type="dxa"/>
            </w:tcMar>
            <w:vAlign w:val="center"/>
          </w:tcPr>
          <w:p w14:paraId="70E5303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0D7F70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5" w:type="dxa"/>
            <w:shd w:val="clear" w:color="auto" w:fill="auto"/>
            <w:tcMar>
              <w:left w:w="108" w:type="dxa"/>
              <w:right w:w="108" w:type="dxa"/>
            </w:tcMar>
            <w:vAlign w:val="center"/>
          </w:tcPr>
          <w:p w14:paraId="5BCD884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34017A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restart"/>
            <w:shd w:val="clear" w:color="auto" w:fill="auto"/>
            <w:tcMar>
              <w:left w:w="108" w:type="dxa"/>
              <w:right w:w="108" w:type="dxa"/>
            </w:tcMar>
            <w:vAlign w:val="center"/>
          </w:tcPr>
          <w:p w14:paraId="7C8EB45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三、本年度办理结果</w:t>
            </w:r>
          </w:p>
        </w:tc>
        <w:tc>
          <w:tcPr>
            <w:tcW w:w="2350" w:type="dxa"/>
            <w:gridSpan w:val="2"/>
            <w:shd w:val="clear" w:color="auto" w:fill="auto"/>
            <w:tcMar>
              <w:left w:w="108" w:type="dxa"/>
              <w:right w:w="108" w:type="dxa"/>
            </w:tcMar>
            <w:vAlign w:val="center"/>
          </w:tcPr>
          <w:p w14:paraId="59D9A60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（一）予以公开</w:t>
            </w:r>
          </w:p>
        </w:tc>
        <w:tc>
          <w:tcPr>
            <w:tcW w:w="547" w:type="dxa"/>
            <w:shd w:val="clear" w:color="auto" w:fill="auto"/>
            <w:tcMar>
              <w:left w:w="108" w:type="dxa"/>
              <w:right w:w="108" w:type="dxa"/>
            </w:tcMar>
            <w:vAlign w:val="center"/>
          </w:tcPr>
          <w:p w14:paraId="1E9FD0D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1</w:t>
            </w:r>
          </w:p>
        </w:tc>
        <w:tc>
          <w:tcPr>
            <w:tcW w:w="700" w:type="dxa"/>
            <w:shd w:val="clear" w:color="auto" w:fill="auto"/>
            <w:tcMar>
              <w:left w:w="108" w:type="dxa"/>
              <w:right w:w="108" w:type="dxa"/>
            </w:tcMar>
            <w:vAlign w:val="center"/>
          </w:tcPr>
          <w:p w14:paraId="3EF1B02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09905E5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0C418CE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8" w:type="dxa"/>
            <w:shd w:val="clear" w:color="auto" w:fill="auto"/>
            <w:tcMar>
              <w:left w:w="108" w:type="dxa"/>
              <w:right w:w="108" w:type="dxa"/>
            </w:tcMar>
            <w:vAlign w:val="center"/>
          </w:tcPr>
          <w:p w14:paraId="7E85A86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70155F5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5" w:type="dxa"/>
            <w:shd w:val="clear" w:color="auto" w:fill="auto"/>
            <w:tcMar>
              <w:left w:w="108" w:type="dxa"/>
              <w:right w:w="108" w:type="dxa"/>
            </w:tcMar>
            <w:vAlign w:val="center"/>
          </w:tcPr>
          <w:p w14:paraId="1351680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1</w:t>
            </w:r>
          </w:p>
        </w:tc>
      </w:tr>
      <w:tr w14:paraId="0ECD45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13FD4E4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p>
        </w:tc>
        <w:tc>
          <w:tcPr>
            <w:tcW w:w="2350" w:type="dxa"/>
            <w:gridSpan w:val="2"/>
            <w:shd w:val="clear" w:color="auto" w:fill="auto"/>
            <w:tcMar>
              <w:left w:w="108" w:type="dxa"/>
              <w:right w:w="108" w:type="dxa"/>
            </w:tcMar>
            <w:vAlign w:val="center"/>
          </w:tcPr>
          <w:p w14:paraId="033E81B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（二）部分公开（</w:t>
            </w:r>
            <w:bookmarkStart w:id="1" w:name="_Hlk66973981"/>
            <w:r>
              <w:rPr>
                <w:rFonts w:hint="default" w:ascii="Times New Roman" w:hAnsi="Times New Roman" w:eastAsia="仿宋_GB2312" w:cs="Times New Roman"/>
                <w:kern w:val="0"/>
                <w:sz w:val="21"/>
                <w:szCs w:val="21"/>
                <w:lang w:eastAsia="zh-CN" w:bidi="ar-SA"/>
              </w:rPr>
              <w:t>区分处理的，只计这一情形，不计其他情形</w:t>
            </w:r>
            <w:bookmarkEnd w:id="1"/>
            <w:r>
              <w:rPr>
                <w:rFonts w:hint="default" w:ascii="Times New Roman" w:hAnsi="Times New Roman" w:eastAsia="仿宋_GB2312" w:cs="Times New Roman"/>
                <w:kern w:val="0"/>
                <w:sz w:val="21"/>
                <w:szCs w:val="21"/>
                <w:lang w:eastAsia="zh-CN" w:bidi="ar-SA"/>
              </w:rPr>
              <w:t>）</w:t>
            </w:r>
          </w:p>
        </w:tc>
        <w:tc>
          <w:tcPr>
            <w:tcW w:w="547" w:type="dxa"/>
            <w:shd w:val="clear" w:color="auto" w:fill="auto"/>
            <w:tcMar>
              <w:left w:w="108" w:type="dxa"/>
              <w:right w:w="108" w:type="dxa"/>
            </w:tcMar>
            <w:vAlign w:val="center"/>
          </w:tcPr>
          <w:p w14:paraId="55FCD05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2AF7C0C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2A7D825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34BBD55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8" w:type="dxa"/>
            <w:shd w:val="clear" w:color="auto" w:fill="auto"/>
            <w:tcMar>
              <w:left w:w="108" w:type="dxa"/>
              <w:right w:w="108" w:type="dxa"/>
            </w:tcMar>
            <w:vAlign w:val="center"/>
          </w:tcPr>
          <w:p w14:paraId="3E5CF63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34CD801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5" w:type="dxa"/>
            <w:shd w:val="clear" w:color="auto" w:fill="auto"/>
            <w:tcMar>
              <w:left w:w="108" w:type="dxa"/>
              <w:right w:w="108" w:type="dxa"/>
            </w:tcMar>
            <w:vAlign w:val="center"/>
          </w:tcPr>
          <w:p w14:paraId="487D974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57508C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05F13F3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p>
        </w:tc>
        <w:tc>
          <w:tcPr>
            <w:tcW w:w="1065" w:type="dxa"/>
            <w:vMerge w:val="restart"/>
            <w:shd w:val="clear" w:color="auto" w:fill="auto"/>
            <w:tcMar>
              <w:left w:w="108" w:type="dxa"/>
              <w:right w:w="108" w:type="dxa"/>
            </w:tcMar>
            <w:vAlign w:val="center"/>
          </w:tcPr>
          <w:p w14:paraId="1E2D45F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（三）不予公开</w:t>
            </w:r>
          </w:p>
        </w:tc>
        <w:tc>
          <w:tcPr>
            <w:tcW w:w="2350" w:type="dxa"/>
            <w:shd w:val="clear" w:color="auto" w:fill="auto"/>
            <w:tcMar>
              <w:left w:w="108" w:type="dxa"/>
              <w:right w:w="108" w:type="dxa"/>
            </w:tcMar>
            <w:vAlign w:val="center"/>
          </w:tcPr>
          <w:p w14:paraId="4E52EC2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1.属于国家秘密</w:t>
            </w:r>
          </w:p>
        </w:tc>
        <w:tc>
          <w:tcPr>
            <w:tcW w:w="547" w:type="dxa"/>
            <w:shd w:val="clear" w:color="auto" w:fill="auto"/>
            <w:tcMar>
              <w:left w:w="108" w:type="dxa"/>
              <w:right w:w="108" w:type="dxa"/>
            </w:tcMar>
            <w:vAlign w:val="center"/>
          </w:tcPr>
          <w:p w14:paraId="2E04021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741C27A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6DAC249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72AF2D1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8" w:type="dxa"/>
            <w:shd w:val="clear" w:color="auto" w:fill="auto"/>
            <w:tcMar>
              <w:left w:w="108" w:type="dxa"/>
              <w:right w:w="108" w:type="dxa"/>
            </w:tcMar>
            <w:vAlign w:val="center"/>
          </w:tcPr>
          <w:p w14:paraId="10522B6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50A973F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5" w:type="dxa"/>
            <w:shd w:val="clear" w:color="auto" w:fill="auto"/>
            <w:tcMar>
              <w:left w:w="108" w:type="dxa"/>
              <w:right w:w="108" w:type="dxa"/>
            </w:tcMar>
            <w:vAlign w:val="center"/>
          </w:tcPr>
          <w:p w14:paraId="3021001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79772C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7B0E629C">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p>
        </w:tc>
        <w:tc>
          <w:tcPr>
            <w:tcW w:w="1065" w:type="dxa"/>
            <w:vMerge w:val="continue"/>
            <w:shd w:val="clear" w:color="auto" w:fill="auto"/>
            <w:tcMar>
              <w:left w:w="108" w:type="dxa"/>
              <w:right w:w="108" w:type="dxa"/>
            </w:tcMar>
            <w:vAlign w:val="center"/>
          </w:tcPr>
          <w:p w14:paraId="75DDD66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p>
        </w:tc>
        <w:tc>
          <w:tcPr>
            <w:tcW w:w="2350" w:type="dxa"/>
            <w:shd w:val="clear" w:color="auto" w:fill="auto"/>
            <w:tcMar>
              <w:left w:w="108" w:type="dxa"/>
              <w:right w:w="108" w:type="dxa"/>
            </w:tcMar>
            <w:vAlign w:val="center"/>
          </w:tcPr>
          <w:p w14:paraId="6C4D8B0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2" w:name="_Hlk66974104"/>
            <w:r>
              <w:rPr>
                <w:rFonts w:hint="default" w:ascii="Times New Roman" w:hAnsi="Times New Roman" w:eastAsia="仿宋_GB2312" w:cs="Times New Roman"/>
                <w:kern w:val="0"/>
                <w:sz w:val="21"/>
                <w:szCs w:val="21"/>
                <w:lang w:eastAsia="zh-CN" w:bidi="ar-SA"/>
              </w:rPr>
              <w:t>其他法律行政法规禁止公开</w:t>
            </w:r>
            <w:bookmarkEnd w:id="2"/>
          </w:p>
        </w:tc>
        <w:tc>
          <w:tcPr>
            <w:tcW w:w="547" w:type="dxa"/>
            <w:shd w:val="clear" w:color="auto" w:fill="auto"/>
            <w:tcMar>
              <w:left w:w="108" w:type="dxa"/>
              <w:right w:w="108" w:type="dxa"/>
            </w:tcMar>
            <w:vAlign w:val="center"/>
          </w:tcPr>
          <w:p w14:paraId="6451A2C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40EC3AC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5F78C7F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704D5A0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8" w:type="dxa"/>
            <w:shd w:val="clear" w:color="auto" w:fill="auto"/>
            <w:tcMar>
              <w:left w:w="108" w:type="dxa"/>
              <w:right w:w="108" w:type="dxa"/>
            </w:tcMar>
            <w:vAlign w:val="center"/>
          </w:tcPr>
          <w:p w14:paraId="4440B38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84819D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5" w:type="dxa"/>
            <w:shd w:val="clear" w:color="auto" w:fill="auto"/>
            <w:tcMar>
              <w:left w:w="108" w:type="dxa"/>
              <w:right w:w="108" w:type="dxa"/>
            </w:tcMar>
            <w:vAlign w:val="center"/>
          </w:tcPr>
          <w:p w14:paraId="7AD68B8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5D6F7D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3BC9200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p>
        </w:tc>
        <w:tc>
          <w:tcPr>
            <w:tcW w:w="1065" w:type="dxa"/>
            <w:vMerge w:val="continue"/>
            <w:shd w:val="clear" w:color="auto" w:fill="auto"/>
            <w:tcMar>
              <w:left w:w="108" w:type="dxa"/>
              <w:right w:w="108" w:type="dxa"/>
            </w:tcMar>
            <w:vAlign w:val="center"/>
          </w:tcPr>
          <w:p w14:paraId="0EB7B17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p>
        </w:tc>
        <w:tc>
          <w:tcPr>
            <w:tcW w:w="2350" w:type="dxa"/>
            <w:shd w:val="clear" w:color="auto" w:fill="auto"/>
            <w:tcMar>
              <w:left w:w="108" w:type="dxa"/>
              <w:right w:w="108" w:type="dxa"/>
            </w:tcMar>
            <w:vAlign w:val="center"/>
          </w:tcPr>
          <w:p w14:paraId="184DE2D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3.危及“三安全一稳定”</w:t>
            </w:r>
          </w:p>
        </w:tc>
        <w:tc>
          <w:tcPr>
            <w:tcW w:w="547" w:type="dxa"/>
            <w:shd w:val="clear" w:color="auto" w:fill="auto"/>
            <w:tcMar>
              <w:left w:w="108" w:type="dxa"/>
              <w:right w:w="108" w:type="dxa"/>
            </w:tcMar>
            <w:vAlign w:val="center"/>
          </w:tcPr>
          <w:p w14:paraId="0D14BE9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504E401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7116247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56F4630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8" w:type="dxa"/>
            <w:shd w:val="clear" w:color="auto" w:fill="auto"/>
            <w:tcMar>
              <w:left w:w="108" w:type="dxa"/>
              <w:right w:w="108" w:type="dxa"/>
            </w:tcMar>
            <w:vAlign w:val="center"/>
          </w:tcPr>
          <w:p w14:paraId="6577B22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0367277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5" w:type="dxa"/>
            <w:shd w:val="clear" w:color="auto" w:fill="auto"/>
            <w:tcMar>
              <w:left w:w="108" w:type="dxa"/>
              <w:right w:w="108" w:type="dxa"/>
            </w:tcMar>
            <w:vAlign w:val="center"/>
          </w:tcPr>
          <w:p w14:paraId="5E47FE4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7A9300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10CEE86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p>
        </w:tc>
        <w:tc>
          <w:tcPr>
            <w:tcW w:w="1065" w:type="dxa"/>
            <w:vMerge w:val="continue"/>
            <w:shd w:val="clear" w:color="auto" w:fill="auto"/>
            <w:tcMar>
              <w:left w:w="108" w:type="dxa"/>
              <w:right w:w="108" w:type="dxa"/>
            </w:tcMar>
            <w:vAlign w:val="center"/>
          </w:tcPr>
          <w:p w14:paraId="38F3851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p>
        </w:tc>
        <w:tc>
          <w:tcPr>
            <w:tcW w:w="2350" w:type="dxa"/>
            <w:shd w:val="clear" w:color="auto" w:fill="auto"/>
            <w:tcMar>
              <w:left w:w="108" w:type="dxa"/>
              <w:right w:w="108" w:type="dxa"/>
            </w:tcMar>
            <w:vAlign w:val="center"/>
          </w:tcPr>
          <w:p w14:paraId="076F02A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4.</w:t>
            </w:r>
            <w:bookmarkStart w:id="3" w:name="_Hlk66974290"/>
            <w:r>
              <w:rPr>
                <w:rFonts w:hint="default" w:ascii="Times New Roman" w:hAnsi="Times New Roman" w:eastAsia="仿宋_GB2312" w:cs="Times New Roman"/>
                <w:kern w:val="0"/>
                <w:sz w:val="21"/>
                <w:szCs w:val="21"/>
                <w:lang w:eastAsia="zh-CN" w:bidi="ar-SA"/>
              </w:rPr>
              <w:t>保护第三方合法权益</w:t>
            </w:r>
            <w:bookmarkEnd w:id="3"/>
          </w:p>
        </w:tc>
        <w:tc>
          <w:tcPr>
            <w:tcW w:w="547" w:type="dxa"/>
            <w:shd w:val="clear" w:color="auto" w:fill="auto"/>
            <w:tcMar>
              <w:left w:w="108" w:type="dxa"/>
              <w:right w:w="108" w:type="dxa"/>
            </w:tcMar>
            <w:vAlign w:val="center"/>
          </w:tcPr>
          <w:p w14:paraId="19262B8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47ED829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03B285C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4BB75F2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8" w:type="dxa"/>
            <w:shd w:val="clear" w:color="auto" w:fill="auto"/>
            <w:tcMar>
              <w:left w:w="108" w:type="dxa"/>
              <w:right w:w="108" w:type="dxa"/>
            </w:tcMar>
            <w:vAlign w:val="center"/>
          </w:tcPr>
          <w:p w14:paraId="4BBADDF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75A071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5" w:type="dxa"/>
            <w:shd w:val="clear" w:color="auto" w:fill="auto"/>
            <w:tcMar>
              <w:left w:w="108" w:type="dxa"/>
              <w:right w:w="108" w:type="dxa"/>
            </w:tcMar>
            <w:vAlign w:val="center"/>
          </w:tcPr>
          <w:p w14:paraId="57B4D05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43194E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16EEDDF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p>
        </w:tc>
        <w:tc>
          <w:tcPr>
            <w:tcW w:w="1065" w:type="dxa"/>
            <w:vMerge w:val="continue"/>
            <w:shd w:val="clear" w:color="auto" w:fill="auto"/>
            <w:tcMar>
              <w:left w:w="108" w:type="dxa"/>
              <w:right w:w="108" w:type="dxa"/>
            </w:tcMar>
            <w:vAlign w:val="center"/>
          </w:tcPr>
          <w:p w14:paraId="7384519C">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p>
        </w:tc>
        <w:tc>
          <w:tcPr>
            <w:tcW w:w="2350" w:type="dxa"/>
            <w:shd w:val="clear" w:color="auto" w:fill="auto"/>
            <w:tcMar>
              <w:left w:w="108" w:type="dxa"/>
              <w:right w:w="108" w:type="dxa"/>
            </w:tcMar>
            <w:vAlign w:val="center"/>
          </w:tcPr>
          <w:p w14:paraId="3C72D42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5.属于三类内部事务信息</w:t>
            </w:r>
          </w:p>
        </w:tc>
        <w:tc>
          <w:tcPr>
            <w:tcW w:w="547" w:type="dxa"/>
            <w:shd w:val="clear" w:color="auto" w:fill="auto"/>
            <w:tcMar>
              <w:left w:w="108" w:type="dxa"/>
              <w:right w:w="108" w:type="dxa"/>
            </w:tcMar>
            <w:vAlign w:val="center"/>
          </w:tcPr>
          <w:p w14:paraId="7E55E5A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3A2F6E7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6362D82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34290FA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8" w:type="dxa"/>
            <w:shd w:val="clear" w:color="auto" w:fill="auto"/>
            <w:tcMar>
              <w:left w:w="108" w:type="dxa"/>
              <w:right w:w="108" w:type="dxa"/>
            </w:tcMar>
            <w:vAlign w:val="center"/>
          </w:tcPr>
          <w:p w14:paraId="6E8AB40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AADFFE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5" w:type="dxa"/>
            <w:shd w:val="clear" w:color="auto" w:fill="auto"/>
            <w:tcMar>
              <w:left w:w="108" w:type="dxa"/>
              <w:right w:w="108" w:type="dxa"/>
            </w:tcMar>
            <w:vAlign w:val="center"/>
          </w:tcPr>
          <w:p w14:paraId="6647762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5C9FE2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384AA75D">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p>
        </w:tc>
        <w:tc>
          <w:tcPr>
            <w:tcW w:w="1065" w:type="dxa"/>
            <w:vMerge w:val="continue"/>
            <w:shd w:val="clear" w:color="auto" w:fill="auto"/>
            <w:tcMar>
              <w:left w:w="108" w:type="dxa"/>
              <w:right w:w="108" w:type="dxa"/>
            </w:tcMar>
            <w:vAlign w:val="center"/>
          </w:tcPr>
          <w:p w14:paraId="404CEF83">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p>
        </w:tc>
        <w:tc>
          <w:tcPr>
            <w:tcW w:w="2350" w:type="dxa"/>
            <w:shd w:val="clear" w:color="auto" w:fill="auto"/>
            <w:tcMar>
              <w:left w:w="108" w:type="dxa"/>
              <w:right w:w="108" w:type="dxa"/>
            </w:tcMar>
            <w:vAlign w:val="center"/>
          </w:tcPr>
          <w:p w14:paraId="25AF62D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6.</w:t>
            </w:r>
            <w:bookmarkStart w:id="4" w:name="_Hlk66974555"/>
            <w:r>
              <w:rPr>
                <w:rFonts w:hint="default" w:ascii="Times New Roman" w:hAnsi="Times New Roman" w:eastAsia="仿宋_GB2312" w:cs="Times New Roman"/>
                <w:kern w:val="0"/>
                <w:sz w:val="21"/>
                <w:szCs w:val="21"/>
                <w:lang w:eastAsia="zh-CN" w:bidi="ar-SA"/>
              </w:rPr>
              <w:t>属于四类过程性信息</w:t>
            </w:r>
            <w:bookmarkEnd w:id="4"/>
          </w:p>
        </w:tc>
        <w:tc>
          <w:tcPr>
            <w:tcW w:w="547" w:type="dxa"/>
            <w:shd w:val="clear" w:color="auto" w:fill="auto"/>
            <w:tcMar>
              <w:left w:w="108" w:type="dxa"/>
              <w:right w:w="108" w:type="dxa"/>
            </w:tcMar>
            <w:vAlign w:val="center"/>
          </w:tcPr>
          <w:p w14:paraId="05D9824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0E66751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5CA2AAC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24AAE83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8" w:type="dxa"/>
            <w:shd w:val="clear" w:color="auto" w:fill="auto"/>
            <w:tcMar>
              <w:left w:w="108" w:type="dxa"/>
              <w:right w:w="108" w:type="dxa"/>
            </w:tcMar>
            <w:vAlign w:val="center"/>
          </w:tcPr>
          <w:p w14:paraId="322810D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11136D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5" w:type="dxa"/>
            <w:shd w:val="clear" w:color="auto" w:fill="auto"/>
            <w:tcMar>
              <w:left w:w="108" w:type="dxa"/>
              <w:right w:w="108" w:type="dxa"/>
            </w:tcMar>
            <w:vAlign w:val="center"/>
          </w:tcPr>
          <w:p w14:paraId="169EC22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3BD928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699269F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p>
        </w:tc>
        <w:tc>
          <w:tcPr>
            <w:tcW w:w="1065" w:type="dxa"/>
            <w:vMerge w:val="continue"/>
            <w:shd w:val="clear" w:color="auto" w:fill="auto"/>
            <w:tcMar>
              <w:left w:w="108" w:type="dxa"/>
              <w:right w:w="108" w:type="dxa"/>
            </w:tcMar>
            <w:vAlign w:val="center"/>
          </w:tcPr>
          <w:p w14:paraId="2B94D59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p>
        </w:tc>
        <w:tc>
          <w:tcPr>
            <w:tcW w:w="2350" w:type="dxa"/>
            <w:shd w:val="clear" w:color="auto" w:fill="auto"/>
            <w:tcMar>
              <w:left w:w="108" w:type="dxa"/>
              <w:right w:w="108" w:type="dxa"/>
            </w:tcMar>
            <w:vAlign w:val="center"/>
          </w:tcPr>
          <w:p w14:paraId="36665C7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7.属于行政执法案卷</w:t>
            </w:r>
          </w:p>
        </w:tc>
        <w:tc>
          <w:tcPr>
            <w:tcW w:w="547" w:type="dxa"/>
            <w:shd w:val="clear" w:color="auto" w:fill="auto"/>
            <w:tcMar>
              <w:left w:w="108" w:type="dxa"/>
              <w:right w:w="108" w:type="dxa"/>
            </w:tcMar>
            <w:vAlign w:val="center"/>
          </w:tcPr>
          <w:p w14:paraId="403F7BE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0E063F2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3877C46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6151FB9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8" w:type="dxa"/>
            <w:shd w:val="clear" w:color="auto" w:fill="auto"/>
            <w:tcMar>
              <w:left w:w="108" w:type="dxa"/>
              <w:right w:w="108" w:type="dxa"/>
            </w:tcMar>
            <w:vAlign w:val="center"/>
          </w:tcPr>
          <w:p w14:paraId="165185C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7543234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5" w:type="dxa"/>
            <w:shd w:val="clear" w:color="auto" w:fill="auto"/>
            <w:tcMar>
              <w:left w:w="108" w:type="dxa"/>
              <w:right w:w="108" w:type="dxa"/>
            </w:tcMar>
            <w:vAlign w:val="center"/>
          </w:tcPr>
          <w:p w14:paraId="120E4BC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0B678A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353D26E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p>
        </w:tc>
        <w:tc>
          <w:tcPr>
            <w:tcW w:w="1065" w:type="dxa"/>
            <w:vMerge w:val="continue"/>
            <w:shd w:val="clear" w:color="auto" w:fill="auto"/>
            <w:tcMar>
              <w:left w:w="108" w:type="dxa"/>
              <w:right w:w="108" w:type="dxa"/>
            </w:tcMar>
            <w:vAlign w:val="center"/>
          </w:tcPr>
          <w:p w14:paraId="150384B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p>
        </w:tc>
        <w:tc>
          <w:tcPr>
            <w:tcW w:w="2350" w:type="dxa"/>
            <w:shd w:val="clear" w:color="auto" w:fill="auto"/>
            <w:tcMar>
              <w:left w:w="108" w:type="dxa"/>
              <w:right w:w="108" w:type="dxa"/>
            </w:tcMar>
            <w:vAlign w:val="center"/>
          </w:tcPr>
          <w:p w14:paraId="41468C9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8.</w:t>
            </w:r>
            <w:bookmarkStart w:id="5" w:name="_Hlk66975211"/>
            <w:r>
              <w:rPr>
                <w:rFonts w:hint="default" w:ascii="Times New Roman" w:hAnsi="Times New Roman" w:eastAsia="仿宋_GB2312" w:cs="Times New Roman"/>
                <w:kern w:val="0"/>
                <w:sz w:val="21"/>
                <w:szCs w:val="21"/>
                <w:lang w:eastAsia="zh-CN" w:bidi="ar-SA"/>
              </w:rPr>
              <w:t>属于行政查询事项</w:t>
            </w:r>
            <w:bookmarkEnd w:id="5"/>
          </w:p>
        </w:tc>
        <w:tc>
          <w:tcPr>
            <w:tcW w:w="547" w:type="dxa"/>
            <w:shd w:val="clear" w:color="auto" w:fill="auto"/>
            <w:tcMar>
              <w:left w:w="108" w:type="dxa"/>
              <w:right w:w="108" w:type="dxa"/>
            </w:tcMar>
            <w:vAlign w:val="center"/>
          </w:tcPr>
          <w:p w14:paraId="095FD63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47ED7F1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6DEEA20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44284C1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8" w:type="dxa"/>
            <w:shd w:val="clear" w:color="auto" w:fill="auto"/>
            <w:tcMar>
              <w:left w:w="108" w:type="dxa"/>
              <w:right w:w="108" w:type="dxa"/>
            </w:tcMar>
            <w:vAlign w:val="center"/>
          </w:tcPr>
          <w:p w14:paraId="4624399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7B98FB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5" w:type="dxa"/>
            <w:shd w:val="clear" w:color="auto" w:fill="auto"/>
            <w:tcMar>
              <w:left w:w="108" w:type="dxa"/>
              <w:right w:w="108" w:type="dxa"/>
            </w:tcMar>
            <w:vAlign w:val="center"/>
          </w:tcPr>
          <w:p w14:paraId="2549591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4C1000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72155DF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p>
        </w:tc>
        <w:tc>
          <w:tcPr>
            <w:tcW w:w="1065" w:type="dxa"/>
            <w:vMerge w:val="restart"/>
            <w:shd w:val="clear" w:color="auto" w:fill="auto"/>
            <w:tcMar>
              <w:left w:w="108" w:type="dxa"/>
              <w:right w:w="108" w:type="dxa"/>
            </w:tcMar>
            <w:vAlign w:val="center"/>
          </w:tcPr>
          <w:p w14:paraId="3C71128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（四）无法提供</w:t>
            </w:r>
          </w:p>
        </w:tc>
        <w:tc>
          <w:tcPr>
            <w:tcW w:w="2350" w:type="dxa"/>
            <w:shd w:val="clear" w:color="auto" w:fill="auto"/>
            <w:tcMar>
              <w:left w:w="108" w:type="dxa"/>
              <w:right w:w="108" w:type="dxa"/>
            </w:tcMar>
            <w:vAlign w:val="center"/>
          </w:tcPr>
          <w:p w14:paraId="09E4E72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1.本机关不掌握相关政府信息</w:t>
            </w:r>
          </w:p>
        </w:tc>
        <w:tc>
          <w:tcPr>
            <w:tcW w:w="547" w:type="dxa"/>
            <w:shd w:val="clear" w:color="auto" w:fill="auto"/>
            <w:tcMar>
              <w:left w:w="108" w:type="dxa"/>
              <w:right w:w="108" w:type="dxa"/>
            </w:tcMar>
            <w:vAlign w:val="center"/>
          </w:tcPr>
          <w:p w14:paraId="5D730A3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1"/>
                <w:lang w:eastAsia="zh-CN" w:bidi="ar-SA"/>
              </w:rPr>
              <w:t>0</w:t>
            </w:r>
          </w:p>
        </w:tc>
        <w:tc>
          <w:tcPr>
            <w:tcW w:w="700" w:type="dxa"/>
            <w:shd w:val="clear" w:color="auto" w:fill="auto"/>
            <w:tcMar>
              <w:left w:w="108" w:type="dxa"/>
              <w:right w:w="108" w:type="dxa"/>
            </w:tcMar>
            <w:vAlign w:val="center"/>
          </w:tcPr>
          <w:p w14:paraId="3103A75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6A637AD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7F9D0FD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8" w:type="dxa"/>
            <w:shd w:val="clear" w:color="auto" w:fill="auto"/>
            <w:tcMar>
              <w:left w:w="108" w:type="dxa"/>
              <w:right w:w="108" w:type="dxa"/>
            </w:tcMar>
            <w:vAlign w:val="center"/>
          </w:tcPr>
          <w:p w14:paraId="6FDECE6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332DCCB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5" w:type="dxa"/>
            <w:shd w:val="clear" w:color="auto" w:fill="auto"/>
            <w:tcMar>
              <w:left w:w="108" w:type="dxa"/>
              <w:right w:w="108" w:type="dxa"/>
            </w:tcMar>
            <w:vAlign w:val="center"/>
          </w:tcPr>
          <w:p w14:paraId="5756FC2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052291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673DB21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p>
        </w:tc>
        <w:tc>
          <w:tcPr>
            <w:tcW w:w="1065" w:type="dxa"/>
            <w:vMerge w:val="continue"/>
            <w:shd w:val="clear" w:color="auto" w:fill="auto"/>
            <w:tcMar>
              <w:left w:w="108" w:type="dxa"/>
              <w:right w:w="108" w:type="dxa"/>
            </w:tcMar>
            <w:vAlign w:val="center"/>
          </w:tcPr>
          <w:p w14:paraId="64BA416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p>
        </w:tc>
        <w:tc>
          <w:tcPr>
            <w:tcW w:w="2350" w:type="dxa"/>
            <w:shd w:val="clear" w:color="auto" w:fill="auto"/>
            <w:tcMar>
              <w:left w:w="108" w:type="dxa"/>
              <w:right w:w="108" w:type="dxa"/>
            </w:tcMar>
            <w:vAlign w:val="center"/>
          </w:tcPr>
          <w:p w14:paraId="47D0A8F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6" w:name="_Hlk66975392"/>
            <w:r>
              <w:rPr>
                <w:rFonts w:hint="default" w:ascii="Times New Roman" w:hAnsi="Times New Roman" w:eastAsia="仿宋_GB2312" w:cs="Times New Roman"/>
                <w:kern w:val="0"/>
                <w:sz w:val="21"/>
                <w:szCs w:val="21"/>
                <w:lang w:eastAsia="zh-CN" w:bidi="ar-SA"/>
              </w:rPr>
              <w:t>没有现成信息需要另行制作</w:t>
            </w:r>
            <w:bookmarkEnd w:id="6"/>
          </w:p>
        </w:tc>
        <w:tc>
          <w:tcPr>
            <w:tcW w:w="547" w:type="dxa"/>
            <w:shd w:val="clear" w:color="auto" w:fill="auto"/>
            <w:tcMar>
              <w:left w:w="108" w:type="dxa"/>
              <w:right w:w="108" w:type="dxa"/>
            </w:tcMar>
            <w:vAlign w:val="center"/>
          </w:tcPr>
          <w:p w14:paraId="36564FB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7CF9F21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5DE2BCF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207DC6F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8" w:type="dxa"/>
            <w:shd w:val="clear" w:color="auto" w:fill="auto"/>
            <w:tcMar>
              <w:left w:w="108" w:type="dxa"/>
              <w:right w:w="108" w:type="dxa"/>
            </w:tcMar>
            <w:vAlign w:val="center"/>
          </w:tcPr>
          <w:p w14:paraId="3442D44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43F8DF1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5" w:type="dxa"/>
            <w:shd w:val="clear" w:color="auto" w:fill="auto"/>
            <w:tcMar>
              <w:left w:w="108" w:type="dxa"/>
              <w:right w:w="108" w:type="dxa"/>
            </w:tcMar>
            <w:vAlign w:val="center"/>
          </w:tcPr>
          <w:p w14:paraId="31B41E0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471956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5D2300F3">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p>
        </w:tc>
        <w:tc>
          <w:tcPr>
            <w:tcW w:w="1065" w:type="dxa"/>
            <w:vMerge w:val="continue"/>
            <w:shd w:val="clear" w:color="auto" w:fill="auto"/>
            <w:tcMar>
              <w:left w:w="108" w:type="dxa"/>
              <w:right w:w="108" w:type="dxa"/>
            </w:tcMar>
            <w:vAlign w:val="center"/>
          </w:tcPr>
          <w:p w14:paraId="6578F31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p>
        </w:tc>
        <w:tc>
          <w:tcPr>
            <w:tcW w:w="2350" w:type="dxa"/>
            <w:shd w:val="clear" w:color="auto" w:fill="auto"/>
            <w:tcMar>
              <w:left w:w="108" w:type="dxa"/>
              <w:right w:w="108" w:type="dxa"/>
            </w:tcMar>
            <w:vAlign w:val="center"/>
          </w:tcPr>
          <w:p w14:paraId="74C26B8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w:t>
            </w:r>
            <w:bookmarkStart w:id="7" w:name="_Hlk66975466"/>
            <w:r>
              <w:rPr>
                <w:rFonts w:hint="default" w:ascii="Times New Roman" w:hAnsi="Times New Roman" w:eastAsia="仿宋_GB2312" w:cs="Times New Roman"/>
                <w:kern w:val="0"/>
                <w:sz w:val="21"/>
                <w:szCs w:val="21"/>
                <w:lang w:eastAsia="zh-CN" w:bidi="ar-SA"/>
              </w:rPr>
              <w:t>补正后申请内容仍不明确</w:t>
            </w:r>
            <w:bookmarkEnd w:id="7"/>
          </w:p>
        </w:tc>
        <w:tc>
          <w:tcPr>
            <w:tcW w:w="547" w:type="dxa"/>
            <w:shd w:val="clear" w:color="auto" w:fill="auto"/>
            <w:tcMar>
              <w:left w:w="108" w:type="dxa"/>
              <w:right w:w="108" w:type="dxa"/>
            </w:tcMar>
            <w:vAlign w:val="center"/>
          </w:tcPr>
          <w:p w14:paraId="4FF32BA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17C59CB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236A3B3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3215B10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8" w:type="dxa"/>
            <w:shd w:val="clear" w:color="auto" w:fill="auto"/>
            <w:tcMar>
              <w:left w:w="108" w:type="dxa"/>
              <w:right w:w="108" w:type="dxa"/>
            </w:tcMar>
            <w:vAlign w:val="center"/>
          </w:tcPr>
          <w:p w14:paraId="6FD6C01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3301B9A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5" w:type="dxa"/>
            <w:shd w:val="clear" w:color="auto" w:fill="auto"/>
            <w:tcMar>
              <w:left w:w="108" w:type="dxa"/>
              <w:right w:w="108" w:type="dxa"/>
            </w:tcMar>
            <w:vAlign w:val="center"/>
          </w:tcPr>
          <w:p w14:paraId="5E51503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0432F3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372C885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p>
        </w:tc>
        <w:tc>
          <w:tcPr>
            <w:tcW w:w="1065" w:type="dxa"/>
            <w:vMerge w:val="restart"/>
            <w:shd w:val="clear" w:color="auto" w:fill="auto"/>
            <w:tcMar>
              <w:left w:w="108" w:type="dxa"/>
              <w:right w:w="108" w:type="dxa"/>
            </w:tcMar>
            <w:vAlign w:val="center"/>
          </w:tcPr>
          <w:p w14:paraId="6E96826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（五）不予处理</w:t>
            </w:r>
          </w:p>
        </w:tc>
        <w:tc>
          <w:tcPr>
            <w:tcW w:w="2350" w:type="dxa"/>
            <w:shd w:val="clear" w:color="auto" w:fill="auto"/>
            <w:tcMar>
              <w:left w:w="108" w:type="dxa"/>
              <w:right w:w="108" w:type="dxa"/>
            </w:tcMar>
            <w:vAlign w:val="center"/>
          </w:tcPr>
          <w:p w14:paraId="45AC812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w:t>
            </w:r>
            <w:bookmarkStart w:id="8" w:name="_Hlk66975537"/>
            <w:r>
              <w:rPr>
                <w:rFonts w:hint="default" w:ascii="Times New Roman" w:hAnsi="Times New Roman" w:eastAsia="仿宋_GB2312" w:cs="Times New Roman"/>
                <w:kern w:val="0"/>
                <w:sz w:val="21"/>
                <w:szCs w:val="21"/>
                <w:lang w:eastAsia="zh-CN" w:bidi="ar-SA"/>
              </w:rPr>
              <w:t>信访举报投诉类申请</w:t>
            </w:r>
            <w:bookmarkEnd w:id="8"/>
          </w:p>
        </w:tc>
        <w:tc>
          <w:tcPr>
            <w:tcW w:w="547" w:type="dxa"/>
            <w:shd w:val="clear" w:color="auto" w:fill="auto"/>
            <w:tcMar>
              <w:left w:w="108" w:type="dxa"/>
              <w:right w:w="108" w:type="dxa"/>
            </w:tcMar>
            <w:vAlign w:val="center"/>
          </w:tcPr>
          <w:p w14:paraId="1C3ED10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4906BDD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6D09F34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7DBF63B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8" w:type="dxa"/>
            <w:shd w:val="clear" w:color="auto" w:fill="auto"/>
            <w:tcMar>
              <w:left w:w="108" w:type="dxa"/>
              <w:right w:w="108" w:type="dxa"/>
            </w:tcMar>
            <w:vAlign w:val="center"/>
          </w:tcPr>
          <w:p w14:paraId="07BED71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2FB6FB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5" w:type="dxa"/>
            <w:shd w:val="clear" w:color="auto" w:fill="auto"/>
            <w:tcMar>
              <w:left w:w="108" w:type="dxa"/>
              <w:right w:w="108" w:type="dxa"/>
            </w:tcMar>
            <w:vAlign w:val="center"/>
          </w:tcPr>
          <w:p w14:paraId="0C3C105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00A8B7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3B9EB6A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p>
        </w:tc>
        <w:tc>
          <w:tcPr>
            <w:tcW w:w="1065" w:type="dxa"/>
            <w:vMerge w:val="continue"/>
            <w:shd w:val="clear" w:color="auto" w:fill="auto"/>
            <w:tcMar>
              <w:left w:w="108" w:type="dxa"/>
              <w:right w:w="108" w:type="dxa"/>
            </w:tcMar>
            <w:vAlign w:val="center"/>
          </w:tcPr>
          <w:p w14:paraId="7FC77F7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p>
        </w:tc>
        <w:tc>
          <w:tcPr>
            <w:tcW w:w="2350" w:type="dxa"/>
            <w:shd w:val="clear" w:color="auto" w:fill="auto"/>
            <w:tcMar>
              <w:left w:w="108" w:type="dxa"/>
              <w:right w:w="108" w:type="dxa"/>
            </w:tcMar>
            <w:vAlign w:val="center"/>
          </w:tcPr>
          <w:p w14:paraId="485DE68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2.重复申请</w:t>
            </w:r>
          </w:p>
        </w:tc>
        <w:tc>
          <w:tcPr>
            <w:tcW w:w="547" w:type="dxa"/>
            <w:shd w:val="clear" w:color="auto" w:fill="auto"/>
            <w:tcMar>
              <w:left w:w="108" w:type="dxa"/>
              <w:right w:w="108" w:type="dxa"/>
            </w:tcMar>
            <w:vAlign w:val="center"/>
          </w:tcPr>
          <w:p w14:paraId="671783D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6217EDD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08E03B6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7944186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8" w:type="dxa"/>
            <w:shd w:val="clear" w:color="auto" w:fill="auto"/>
            <w:tcMar>
              <w:left w:w="108" w:type="dxa"/>
              <w:right w:w="108" w:type="dxa"/>
            </w:tcMar>
            <w:vAlign w:val="center"/>
          </w:tcPr>
          <w:p w14:paraId="3916A47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03F7E1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5" w:type="dxa"/>
            <w:shd w:val="clear" w:color="auto" w:fill="auto"/>
            <w:tcMar>
              <w:left w:w="108" w:type="dxa"/>
              <w:right w:w="108" w:type="dxa"/>
            </w:tcMar>
            <w:vAlign w:val="center"/>
          </w:tcPr>
          <w:p w14:paraId="1244AD5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1E5989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11191B2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p>
        </w:tc>
        <w:tc>
          <w:tcPr>
            <w:tcW w:w="1065" w:type="dxa"/>
            <w:vMerge w:val="continue"/>
            <w:shd w:val="clear" w:color="auto" w:fill="auto"/>
            <w:tcMar>
              <w:left w:w="108" w:type="dxa"/>
              <w:right w:w="108" w:type="dxa"/>
            </w:tcMar>
            <w:vAlign w:val="center"/>
          </w:tcPr>
          <w:p w14:paraId="0A943E1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p>
        </w:tc>
        <w:tc>
          <w:tcPr>
            <w:tcW w:w="2350" w:type="dxa"/>
            <w:shd w:val="clear" w:color="auto" w:fill="auto"/>
            <w:tcMar>
              <w:left w:w="108" w:type="dxa"/>
              <w:right w:w="108" w:type="dxa"/>
            </w:tcMar>
            <w:vAlign w:val="center"/>
          </w:tcPr>
          <w:p w14:paraId="1A079F6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3.要求提供公开出版物</w:t>
            </w:r>
          </w:p>
        </w:tc>
        <w:tc>
          <w:tcPr>
            <w:tcW w:w="547" w:type="dxa"/>
            <w:shd w:val="clear" w:color="auto" w:fill="auto"/>
            <w:tcMar>
              <w:left w:w="108" w:type="dxa"/>
              <w:right w:w="108" w:type="dxa"/>
            </w:tcMar>
            <w:vAlign w:val="center"/>
          </w:tcPr>
          <w:p w14:paraId="1F09F0A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50B6502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6089061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582FFCB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8" w:type="dxa"/>
            <w:shd w:val="clear" w:color="auto" w:fill="auto"/>
            <w:tcMar>
              <w:left w:w="108" w:type="dxa"/>
              <w:right w:w="108" w:type="dxa"/>
            </w:tcMar>
            <w:vAlign w:val="center"/>
          </w:tcPr>
          <w:p w14:paraId="6E57B32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45A1D8E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5" w:type="dxa"/>
            <w:shd w:val="clear" w:color="auto" w:fill="auto"/>
            <w:tcMar>
              <w:left w:w="108" w:type="dxa"/>
              <w:right w:w="108" w:type="dxa"/>
            </w:tcMar>
            <w:vAlign w:val="center"/>
          </w:tcPr>
          <w:p w14:paraId="1AC94F8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0D96BF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5953D20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p>
        </w:tc>
        <w:tc>
          <w:tcPr>
            <w:tcW w:w="1065" w:type="dxa"/>
            <w:vMerge w:val="continue"/>
            <w:shd w:val="clear" w:color="auto" w:fill="auto"/>
            <w:tcMar>
              <w:left w:w="108" w:type="dxa"/>
              <w:right w:w="108" w:type="dxa"/>
            </w:tcMar>
            <w:vAlign w:val="center"/>
          </w:tcPr>
          <w:p w14:paraId="42DD6139">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p>
        </w:tc>
        <w:tc>
          <w:tcPr>
            <w:tcW w:w="2350" w:type="dxa"/>
            <w:shd w:val="clear" w:color="auto" w:fill="auto"/>
            <w:tcMar>
              <w:left w:w="108" w:type="dxa"/>
              <w:right w:w="108" w:type="dxa"/>
            </w:tcMar>
            <w:vAlign w:val="center"/>
          </w:tcPr>
          <w:p w14:paraId="59EA612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4.无正当理由大量反复申请</w:t>
            </w:r>
          </w:p>
        </w:tc>
        <w:tc>
          <w:tcPr>
            <w:tcW w:w="547" w:type="dxa"/>
            <w:shd w:val="clear" w:color="auto" w:fill="auto"/>
            <w:tcMar>
              <w:left w:w="108" w:type="dxa"/>
              <w:right w:w="108" w:type="dxa"/>
            </w:tcMar>
            <w:vAlign w:val="center"/>
          </w:tcPr>
          <w:p w14:paraId="13C91C3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3136D4C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12CC57D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4DAE06C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8" w:type="dxa"/>
            <w:shd w:val="clear" w:color="auto" w:fill="auto"/>
            <w:tcMar>
              <w:left w:w="108" w:type="dxa"/>
              <w:right w:w="108" w:type="dxa"/>
            </w:tcMar>
            <w:vAlign w:val="center"/>
          </w:tcPr>
          <w:p w14:paraId="164AF03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495D1A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5" w:type="dxa"/>
            <w:shd w:val="clear" w:color="auto" w:fill="auto"/>
            <w:tcMar>
              <w:left w:w="108" w:type="dxa"/>
              <w:right w:w="108" w:type="dxa"/>
            </w:tcMar>
            <w:vAlign w:val="center"/>
          </w:tcPr>
          <w:p w14:paraId="79E0B2B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78A408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0222CE4D">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p>
        </w:tc>
        <w:tc>
          <w:tcPr>
            <w:tcW w:w="1065" w:type="dxa"/>
            <w:vMerge w:val="continue"/>
            <w:shd w:val="clear" w:color="auto" w:fill="auto"/>
            <w:tcMar>
              <w:left w:w="108" w:type="dxa"/>
              <w:right w:w="108" w:type="dxa"/>
            </w:tcMar>
            <w:vAlign w:val="center"/>
          </w:tcPr>
          <w:p w14:paraId="7435C8C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p>
        </w:tc>
        <w:tc>
          <w:tcPr>
            <w:tcW w:w="2350" w:type="dxa"/>
            <w:shd w:val="clear" w:color="auto" w:fill="auto"/>
            <w:tcMar>
              <w:left w:w="108" w:type="dxa"/>
              <w:right w:w="108" w:type="dxa"/>
            </w:tcMar>
            <w:vAlign w:val="center"/>
          </w:tcPr>
          <w:p w14:paraId="6918959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2"/>
                <w:lang w:eastAsia="zh-CN" w:bidi="ar-SA"/>
              </w:rPr>
            </w:pPr>
            <w:r>
              <w:rPr>
                <w:rFonts w:hint="default" w:ascii="Times New Roman" w:hAnsi="Times New Roman" w:eastAsia="仿宋_GB2312" w:cs="Times New Roman"/>
                <w:kern w:val="2"/>
                <w:sz w:val="21"/>
                <w:szCs w:val="22"/>
                <w:lang w:eastAsia="zh-CN" w:bidi="ar-SA"/>
              </w:rPr>
              <w:t>5.要求行政机关确认或重新</w:t>
            </w:r>
          </w:p>
          <w:p w14:paraId="1CA733C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2"/>
                <w:sz w:val="21"/>
                <w:szCs w:val="22"/>
                <w:lang w:eastAsia="zh-CN" w:bidi="ar-SA"/>
              </w:rPr>
              <w:t>出具已获取信息</w:t>
            </w:r>
          </w:p>
        </w:tc>
        <w:tc>
          <w:tcPr>
            <w:tcW w:w="547" w:type="dxa"/>
            <w:shd w:val="clear" w:color="auto" w:fill="auto"/>
            <w:tcMar>
              <w:left w:w="108" w:type="dxa"/>
              <w:right w:w="108" w:type="dxa"/>
            </w:tcMar>
            <w:vAlign w:val="center"/>
          </w:tcPr>
          <w:p w14:paraId="0E38A68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2A48912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1F3BDB7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059BC08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8" w:type="dxa"/>
            <w:shd w:val="clear" w:color="auto" w:fill="auto"/>
            <w:tcMar>
              <w:left w:w="108" w:type="dxa"/>
              <w:right w:w="108" w:type="dxa"/>
            </w:tcMar>
            <w:vAlign w:val="center"/>
          </w:tcPr>
          <w:p w14:paraId="6B45F9F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5773039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5" w:type="dxa"/>
            <w:shd w:val="clear" w:color="auto" w:fill="auto"/>
            <w:tcMar>
              <w:left w:w="108" w:type="dxa"/>
              <w:right w:w="108" w:type="dxa"/>
            </w:tcMar>
            <w:vAlign w:val="center"/>
          </w:tcPr>
          <w:p w14:paraId="4F28D03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63705A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64C7BAF3">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p>
        </w:tc>
        <w:tc>
          <w:tcPr>
            <w:tcW w:w="1065" w:type="dxa"/>
            <w:vMerge w:val="restart"/>
            <w:shd w:val="clear" w:color="auto" w:fill="auto"/>
            <w:tcMar>
              <w:left w:w="108" w:type="dxa"/>
              <w:right w:w="108" w:type="dxa"/>
            </w:tcMar>
            <w:vAlign w:val="center"/>
          </w:tcPr>
          <w:p w14:paraId="5BCD133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2"/>
                <w:lang w:eastAsia="zh-CN" w:bidi="ar-SA"/>
              </w:rPr>
            </w:pPr>
            <w:r>
              <w:rPr>
                <w:rFonts w:hint="default" w:ascii="Times New Roman" w:hAnsi="Times New Roman" w:eastAsia="仿宋_GB2312" w:cs="Times New Roman"/>
                <w:kern w:val="0"/>
                <w:sz w:val="21"/>
                <w:szCs w:val="21"/>
                <w:lang w:eastAsia="zh-CN" w:bidi="ar-SA"/>
              </w:rPr>
              <w:t>（六）其他处理</w:t>
            </w:r>
          </w:p>
        </w:tc>
        <w:tc>
          <w:tcPr>
            <w:tcW w:w="2350" w:type="dxa"/>
            <w:shd w:val="clear" w:color="auto" w:fill="auto"/>
            <w:vAlign w:val="center"/>
          </w:tcPr>
          <w:p w14:paraId="1D7F7E7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2"/>
                <w:lang w:eastAsia="zh-CN" w:bidi="ar-SA"/>
              </w:rPr>
            </w:pPr>
            <w:r>
              <w:rPr>
                <w:rFonts w:hint="default" w:ascii="Times New Roman" w:hAnsi="Times New Roman" w:eastAsia="仿宋_GB2312" w:cs="Times New Roman"/>
                <w:kern w:val="2"/>
                <w:sz w:val="21"/>
                <w:szCs w:val="22"/>
                <w:lang w:eastAsia="zh-CN" w:bidi="ar-SA"/>
              </w:rPr>
              <w:t>1.申请人无正当理由逾期不补正、行政机关不再处理其政府信息公开申请</w:t>
            </w:r>
          </w:p>
        </w:tc>
        <w:tc>
          <w:tcPr>
            <w:tcW w:w="547" w:type="dxa"/>
            <w:shd w:val="clear" w:color="auto" w:fill="auto"/>
            <w:tcMar>
              <w:left w:w="108" w:type="dxa"/>
              <w:right w:w="108" w:type="dxa"/>
            </w:tcMar>
            <w:vAlign w:val="center"/>
          </w:tcPr>
          <w:p w14:paraId="335114E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07BA8F2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14F6EF8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150E178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8" w:type="dxa"/>
            <w:shd w:val="clear" w:color="auto" w:fill="auto"/>
            <w:tcMar>
              <w:left w:w="108" w:type="dxa"/>
              <w:right w:w="108" w:type="dxa"/>
            </w:tcMar>
            <w:vAlign w:val="center"/>
          </w:tcPr>
          <w:p w14:paraId="277A57C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5600F3E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5" w:type="dxa"/>
            <w:shd w:val="clear" w:color="auto" w:fill="auto"/>
            <w:tcMar>
              <w:left w:w="108" w:type="dxa"/>
              <w:right w:w="108" w:type="dxa"/>
            </w:tcMar>
            <w:vAlign w:val="center"/>
          </w:tcPr>
          <w:p w14:paraId="456B96D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6DA622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0F151519">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p>
        </w:tc>
        <w:tc>
          <w:tcPr>
            <w:tcW w:w="1065" w:type="dxa"/>
            <w:vMerge w:val="continue"/>
            <w:shd w:val="clear" w:color="auto" w:fill="auto"/>
            <w:tcMar>
              <w:left w:w="108" w:type="dxa"/>
              <w:right w:w="108" w:type="dxa"/>
            </w:tcMar>
            <w:vAlign w:val="center"/>
          </w:tcPr>
          <w:p w14:paraId="699523D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2"/>
                <w:lang w:eastAsia="zh-CN" w:bidi="ar-SA"/>
              </w:rPr>
            </w:pPr>
          </w:p>
        </w:tc>
        <w:tc>
          <w:tcPr>
            <w:tcW w:w="2350" w:type="dxa"/>
            <w:shd w:val="clear" w:color="auto" w:fill="auto"/>
            <w:vAlign w:val="center"/>
          </w:tcPr>
          <w:p w14:paraId="23259C7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2"/>
                <w:lang w:eastAsia="zh-CN" w:bidi="ar-SA"/>
              </w:rPr>
            </w:pPr>
            <w:r>
              <w:rPr>
                <w:rFonts w:hint="default" w:ascii="Times New Roman" w:hAnsi="Times New Roman" w:eastAsia="仿宋_GB2312" w:cs="Times New Roman"/>
                <w:kern w:val="2"/>
                <w:sz w:val="21"/>
                <w:szCs w:val="22"/>
                <w:lang w:eastAsia="zh-CN" w:bidi="ar-SA"/>
              </w:rPr>
              <w:t>2.申请人逾期未按收费通知要求缴纳费用、行政机关不再处理其政府信息公开申请</w:t>
            </w:r>
          </w:p>
        </w:tc>
        <w:tc>
          <w:tcPr>
            <w:tcW w:w="547" w:type="dxa"/>
            <w:shd w:val="clear" w:color="auto" w:fill="auto"/>
            <w:tcMar>
              <w:left w:w="108" w:type="dxa"/>
              <w:right w:w="108" w:type="dxa"/>
            </w:tcMar>
            <w:vAlign w:val="center"/>
          </w:tcPr>
          <w:p w14:paraId="7E28B1F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6C4860D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49358EF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31D56A2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8" w:type="dxa"/>
            <w:shd w:val="clear" w:color="auto" w:fill="auto"/>
            <w:tcMar>
              <w:left w:w="108" w:type="dxa"/>
              <w:right w:w="108" w:type="dxa"/>
            </w:tcMar>
            <w:vAlign w:val="center"/>
          </w:tcPr>
          <w:p w14:paraId="46C44C6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02565FC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5" w:type="dxa"/>
            <w:shd w:val="clear" w:color="auto" w:fill="auto"/>
            <w:tcMar>
              <w:left w:w="108" w:type="dxa"/>
              <w:right w:w="108" w:type="dxa"/>
            </w:tcMar>
            <w:vAlign w:val="center"/>
          </w:tcPr>
          <w:p w14:paraId="2C5F257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0EDD95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43D4841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1"/>
                <w:lang w:eastAsia="zh-CN" w:bidi="ar-SA"/>
              </w:rPr>
            </w:pPr>
          </w:p>
        </w:tc>
        <w:tc>
          <w:tcPr>
            <w:tcW w:w="1065" w:type="dxa"/>
            <w:vMerge w:val="continue"/>
            <w:shd w:val="clear" w:color="auto" w:fill="auto"/>
            <w:tcMar>
              <w:left w:w="108" w:type="dxa"/>
              <w:right w:w="108" w:type="dxa"/>
            </w:tcMar>
            <w:vAlign w:val="center"/>
          </w:tcPr>
          <w:p w14:paraId="744EBA3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2"/>
                <w:lang w:eastAsia="zh-CN" w:bidi="ar-SA"/>
              </w:rPr>
            </w:pPr>
          </w:p>
        </w:tc>
        <w:tc>
          <w:tcPr>
            <w:tcW w:w="2350" w:type="dxa"/>
            <w:shd w:val="clear" w:color="auto" w:fill="auto"/>
            <w:vAlign w:val="center"/>
          </w:tcPr>
          <w:p w14:paraId="20D5140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2"/>
                <w:sz w:val="21"/>
                <w:szCs w:val="22"/>
                <w:lang w:eastAsia="zh-CN" w:bidi="ar-SA"/>
              </w:rPr>
            </w:pPr>
            <w:r>
              <w:rPr>
                <w:rFonts w:hint="default" w:ascii="Times New Roman" w:hAnsi="Times New Roman" w:eastAsia="仿宋_GB2312" w:cs="Times New Roman"/>
                <w:kern w:val="2"/>
                <w:sz w:val="21"/>
                <w:szCs w:val="22"/>
                <w:lang w:eastAsia="zh-CN" w:bidi="ar-SA"/>
              </w:rPr>
              <w:t>3.其他</w:t>
            </w:r>
          </w:p>
        </w:tc>
        <w:tc>
          <w:tcPr>
            <w:tcW w:w="547" w:type="dxa"/>
            <w:shd w:val="clear" w:color="auto" w:fill="auto"/>
            <w:tcMar>
              <w:left w:w="108" w:type="dxa"/>
              <w:right w:w="108" w:type="dxa"/>
            </w:tcMar>
            <w:vAlign w:val="center"/>
          </w:tcPr>
          <w:p w14:paraId="585C1B6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5AFEC46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4BAD132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35FB1A4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8" w:type="dxa"/>
            <w:shd w:val="clear" w:color="auto" w:fill="auto"/>
            <w:tcMar>
              <w:left w:w="108" w:type="dxa"/>
              <w:right w:w="108" w:type="dxa"/>
            </w:tcMar>
            <w:vAlign w:val="center"/>
          </w:tcPr>
          <w:p w14:paraId="6E6ED62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6830C5F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5" w:type="dxa"/>
            <w:shd w:val="clear" w:color="auto" w:fill="auto"/>
            <w:tcMar>
              <w:left w:w="108" w:type="dxa"/>
              <w:right w:w="108" w:type="dxa"/>
            </w:tcMar>
            <w:vAlign w:val="center"/>
          </w:tcPr>
          <w:p w14:paraId="4FBE099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2834F8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3D836A1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b/>
                <w:kern w:val="2"/>
                <w:sz w:val="21"/>
                <w:szCs w:val="21"/>
                <w:lang w:eastAsia="zh-CN" w:bidi="ar-SA"/>
              </w:rPr>
            </w:pPr>
          </w:p>
        </w:tc>
        <w:tc>
          <w:tcPr>
            <w:tcW w:w="2350" w:type="dxa"/>
            <w:gridSpan w:val="2"/>
            <w:shd w:val="clear" w:color="auto" w:fill="auto"/>
            <w:tcMar>
              <w:left w:w="108" w:type="dxa"/>
              <w:right w:w="108" w:type="dxa"/>
            </w:tcMar>
            <w:vAlign w:val="center"/>
          </w:tcPr>
          <w:p w14:paraId="5ADBAA5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eastAsia="仿宋_GB2312" w:cs="Times New Roman"/>
                <w:b/>
                <w:kern w:val="0"/>
                <w:sz w:val="21"/>
                <w:szCs w:val="21"/>
                <w:lang w:eastAsia="zh-CN" w:bidi="ar-SA"/>
              </w:rPr>
            </w:pPr>
            <w:r>
              <w:rPr>
                <w:rFonts w:hint="default" w:ascii="Times New Roman" w:hAnsi="Times New Roman" w:eastAsia="仿宋_GB2312" w:cs="Times New Roman"/>
                <w:b/>
                <w:kern w:val="0"/>
                <w:sz w:val="21"/>
                <w:szCs w:val="21"/>
                <w:lang w:eastAsia="zh-CN" w:bidi="ar-SA"/>
              </w:rPr>
              <w:t>（七）总计</w:t>
            </w:r>
          </w:p>
        </w:tc>
        <w:tc>
          <w:tcPr>
            <w:tcW w:w="547" w:type="dxa"/>
            <w:shd w:val="clear" w:color="auto" w:fill="auto"/>
            <w:tcMar>
              <w:left w:w="108" w:type="dxa"/>
              <w:right w:w="108" w:type="dxa"/>
            </w:tcMar>
            <w:vAlign w:val="center"/>
          </w:tcPr>
          <w:p w14:paraId="0E36106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b/>
                <w:kern w:val="2"/>
                <w:sz w:val="21"/>
                <w:szCs w:val="21"/>
                <w:lang w:val="en-US" w:eastAsia="zh-CN" w:bidi="ar-SA"/>
              </w:rPr>
            </w:pPr>
            <w:r>
              <w:rPr>
                <w:rFonts w:hint="default" w:ascii="Times New Roman" w:hAnsi="Times New Roman" w:eastAsia="仿宋_GB2312" w:cs="Times New Roman"/>
                <w:b/>
                <w:kern w:val="2"/>
                <w:sz w:val="21"/>
                <w:szCs w:val="21"/>
                <w:lang w:val="en-US" w:eastAsia="zh-CN" w:bidi="ar-SA"/>
              </w:rPr>
              <w:t>1</w:t>
            </w:r>
          </w:p>
        </w:tc>
        <w:tc>
          <w:tcPr>
            <w:tcW w:w="700" w:type="dxa"/>
            <w:shd w:val="clear" w:color="auto" w:fill="auto"/>
            <w:tcMar>
              <w:left w:w="108" w:type="dxa"/>
              <w:right w:w="108" w:type="dxa"/>
            </w:tcMar>
            <w:vAlign w:val="center"/>
          </w:tcPr>
          <w:p w14:paraId="09E5FB0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b/>
                <w:kern w:val="2"/>
                <w:sz w:val="21"/>
                <w:szCs w:val="21"/>
                <w:lang w:val="en-US" w:eastAsia="zh-CN" w:bidi="ar-SA"/>
              </w:rPr>
            </w:pPr>
            <w:r>
              <w:rPr>
                <w:rFonts w:hint="default" w:ascii="Times New Roman" w:hAnsi="Times New Roman" w:eastAsia="仿宋_GB2312" w:cs="Times New Roman"/>
                <w:b/>
                <w:kern w:val="2"/>
                <w:sz w:val="21"/>
                <w:szCs w:val="21"/>
                <w:lang w:val="en-US" w:eastAsia="zh-CN" w:bidi="ar-SA"/>
              </w:rPr>
              <w:t>0</w:t>
            </w:r>
          </w:p>
        </w:tc>
        <w:tc>
          <w:tcPr>
            <w:tcW w:w="700" w:type="dxa"/>
            <w:shd w:val="clear" w:color="auto" w:fill="auto"/>
            <w:tcMar>
              <w:left w:w="108" w:type="dxa"/>
              <w:right w:w="108" w:type="dxa"/>
            </w:tcMar>
            <w:vAlign w:val="center"/>
          </w:tcPr>
          <w:p w14:paraId="4B13B9C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b/>
                <w:kern w:val="2"/>
                <w:sz w:val="21"/>
                <w:szCs w:val="21"/>
                <w:lang w:val="en-US" w:eastAsia="zh-CN" w:bidi="ar-SA"/>
              </w:rPr>
            </w:pPr>
            <w:r>
              <w:rPr>
                <w:rFonts w:hint="default" w:ascii="Times New Roman" w:hAnsi="Times New Roman" w:eastAsia="仿宋_GB2312" w:cs="Times New Roman"/>
                <w:b/>
                <w:kern w:val="2"/>
                <w:sz w:val="21"/>
                <w:szCs w:val="21"/>
                <w:lang w:val="en-US" w:eastAsia="zh-CN" w:bidi="ar-SA"/>
              </w:rPr>
              <w:t>0</w:t>
            </w:r>
          </w:p>
        </w:tc>
        <w:tc>
          <w:tcPr>
            <w:tcW w:w="867" w:type="dxa"/>
            <w:shd w:val="clear" w:color="auto" w:fill="auto"/>
            <w:tcMar>
              <w:left w:w="108" w:type="dxa"/>
              <w:right w:w="108" w:type="dxa"/>
            </w:tcMar>
            <w:vAlign w:val="center"/>
          </w:tcPr>
          <w:p w14:paraId="56D4E2E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b/>
                <w:kern w:val="2"/>
                <w:sz w:val="21"/>
                <w:szCs w:val="21"/>
                <w:lang w:val="en-US" w:eastAsia="zh-CN" w:bidi="ar-SA"/>
              </w:rPr>
            </w:pPr>
            <w:r>
              <w:rPr>
                <w:rFonts w:hint="default" w:ascii="Times New Roman" w:hAnsi="Times New Roman" w:eastAsia="仿宋_GB2312" w:cs="Times New Roman"/>
                <w:b/>
                <w:kern w:val="2"/>
                <w:sz w:val="21"/>
                <w:szCs w:val="21"/>
                <w:lang w:val="en-US" w:eastAsia="zh-CN" w:bidi="ar-SA"/>
              </w:rPr>
              <w:t>0</w:t>
            </w:r>
          </w:p>
        </w:tc>
        <w:tc>
          <w:tcPr>
            <w:tcW w:w="698" w:type="dxa"/>
            <w:shd w:val="clear" w:color="auto" w:fill="auto"/>
            <w:tcMar>
              <w:left w:w="108" w:type="dxa"/>
              <w:right w:w="108" w:type="dxa"/>
            </w:tcMar>
            <w:vAlign w:val="center"/>
          </w:tcPr>
          <w:p w14:paraId="55F34BD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b/>
                <w:kern w:val="2"/>
                <w:sz w:val="21"/>
                <w:szCs w:val="21"/>
                <w:lang w:val="en-US" w:eastAsia="zh-CN" w:bidi="ar-SA"/>
              </w:rPr>
            </w:pPr>
            <w:r>
              <w:rPr>
                <w:rFonts w:hint="default" w:ascii="Times New Roman" w:hAnsi="Times New Roman" w:eastAsia="仿宋_GB2312" w:cs="Times New Roman"/>
                <w:b/>
                <w:kern w:val="2"/>
                <w:sz w:val="21"/>
                <w:szCs w:val="21"/>
                <w:lang w:val="en-US" w:eastAsia="zh-CN" w:bidi="ar-SA"/>
              </w:rPr>
              <w:t>0</w:t>
            </w:r>
          </w:p>
        </w:tc>
        <w:tc>
          <w:tcPr>
            <w:tcW w:w="491" w:type="dxa"/>
            <w:shd w:val="clear" w:color="auto" w:fill="auto"/>
            <w:tcMar>
              <w:left w:w="108" w:type="dxa"/>
              <w:right w:w="108" w:type="dxa"/>
            </w:tcMar>
            <w:vAlign w:val="center"/>
          </w:tcPr>
          <w:p w14:paraId="67D49C0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b/>
                <w:kern w:val="2"/>
                <w:sz w:val="21"/>
                <w:szCs w:val="21"/>
                <w:lang w:val="en-US" w:eastAsia="zh-CN" w:bidi="ar-SA"/>
              </w:rPr>
            </w:pPr>
            <w:r>
              <w:rPr>
                <w:rFonts w:hint="default" w:ascii="Times New Roman" w:hAnsi="Times New Roman" w:eastAsia="仿宋_GB2312" w:cs="Times New Roman"/>
                <w:b/>
                <w:kern w:val="2"/>
                <w:sz w:val="21"/>
                <w:szCs w:val="21"/>
                <w:lang w:val="en-US" w:eastAsia="zh-CN" w:bidi="ar-SA"/>
              </w:rPr>
              <w:t>0</w:t>
            </w:r>
          </w:p>
        </w:tc>
        <w:tc>
          <w:tcPr>
            <w:tcW w:w="485" w:type="dxa"/>
            <w:shd w:val="clear" w:color="auto" w:fill="auto"/>
            <w:tcMar>
              <w:left w:w="108" w:type="dxa"/>
              <w:right w:w="108" w:type="dxa"/>
            </w:tcMar>
            <w:vAlign w:val="center"/>
          </w:tcPr>
          <w:p w14:paraId="5704920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b/>
                <w:kern w:val="2"/>
                <w:sz w:val="21"/>
                <w:szCs w:val="21"/>
                <w:lang w:val="en-US" w:eastAsia="zh-CN" w:bidi="ar-SA"/>
              </w:rPr>
            </w:pPr>
            <w:r>
              <w:rPr>
                <w:rFonts w:hint="default" w:ascii="Times New Roman" w:hAnsi="Times New Roman" w:eastAsia="仿宋_GB2312" w:cs="Times New Roman"/>
                <w:b/>
                <w:kern w:val="2"/>
                <w:sz w:val="21"/>
                <w:szCs w:val="21"/>
                <w:lang w:val="en-US" w:eastAsia="zh-CN" w:bidi="ar-SA"/>
              </w:rPr>
              <w:t>1</w:t>
            </w:r>
          </w:p>
        </w:tc>
      </w:tr>
      <w:tr w14:paraId="07D0CE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350" w:type="dxa"/>
            <w:gridSpan w:val="3"/>
            <w:shd w:val="clear" w:color="auto" w:fill="auto"/>
            <w:tcMar>
              <w:left w:w="108" w:type="dxa"/>
              <w:right w:w="108" w:type="dxa"/>
            </w:tcMar>
            <w:vAlign w:val="center"/>
          </w:tcPr>
          <w:p w14:paraId="138D280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四、结转下年度继续办理</w:t>
            </w:r>
          </w:p>
        </w:tc>
        <w:tc>
          <w:tcPr>
            <w:tcW w:w="547" w:type="dxa"/>
            <w:shd w:val="clear" w:color="auto" w:fill="auto"/>
            <w:tcMar>
              <w:left w:w="108" w:type="dxa"/>
              <w:right w:w="108" w:type="dxa"/>
            </w:tcMar>
            <w:vAlign w:val="center"/>
          </w:tcPr>
          <w:p w14:paraId="5E8B5FC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6D91C12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0" w:type="dxa"/>
            <w:shd w:val="clear" w:color="auto" w:fill="auto"/>
            <w:tcMar>
              <w:left w:w="108" w:type="dxa"/>
              <w:right w:w="108" w:type="dxa"/>
            </w:tcMar>
            <w:vAlign w:val="center"/>
          </w:tcPr>
          <w:p w14:paraId="0CBAA71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39419F9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8" w:type="dxa"/>
            <w:shd w:val="clear" w:color="auto" w:fill="auto"/>
            <w:tcMar>
              <w:left w:w="108" w:type="dxa"/>
              <w:right w:w="108" w:type="dxa"/>
            </w:tcMar>
            <w:vAlign w:val="center"/>
          </w:tcPr>
          <w:p w14:paraId="240EFBC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3869682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5" w:type="dxa"/>
            <w:shd w:val="clear" w:color="auto" w:fill="auto"/>
            <w:tcMar>
              <w:left w:w="108" w:type="dxa"/>
              <w:right w:w="108" w:type="dxa"/>
            </w:tcMar>
            <w:vAlign w:val="center"/>
          </w:tcPr>
          <w:p w14:paraId="68B9458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bl>
    <w:p w14:paraId="12169C8F">
      <w:pPr>
        <w:pStyle w:val="13"/>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黑体" w:cs="Times New Roman"/>
          <w:bCs/>
          <w:color w:val="auto"/>
          <w:sz w:val="32"/>
          <w:szCs w:val="32"/>
          <w:lang w:val="en-US" w:eastAsia="zh-CN"/>
        </w:rPr>
      </w:pPr>
      <w:r>
        <w:rPr>
          <w:rFonts w:hint="default" w:ascii="Times New Roman" w:hAnsi="Times New Roman" w:eastAsia="黑体" w:cs="Times New Roman"/>
          <w:bCs/>
          <w:color w:val="auto"/>
          <w:sz w:val="32"/>
          <w:szCs w:val="32"/>
          <w:lang w:val="en-US" w:eastAsia="zh-CN"/>
        </w:rPr>
        <w:t>四、政府信息公开行政复议、行政诉讼情况</w:t>
      </w:r>
    </w:p>
    <w:tbl>
      <w:tblPr>
        <w:tblStyle w:val="7"/>
        <w:tblW w:w="5000" w:type="pct"/>
        <w:jc w:val="center"/>
        <w:tblLayout w:type="autofit"/>
        <w:tblCellMar>
          <w:top w:w="0" w:type="dxa"/>
          <w:left w:w="10" w:type="dxa"/>
          <w:bottom w:w="0" w:type="dxa"/>
          <w:right w:w="10" w:type="dxa"/>
        </w:tblCellMar>
      </w:tblPr>
      <w:tblGrid>
        <w:gridCol w:w="576"/>
        <w:gridCol w:w="578"/>
        <w:gridCol w:w="578"/>
        <w:gridCol w:w="578"/>
        <w:gridCol w:w="461"/>
        <w:gridCol w:w="578"/>
        <w:gridCol w:w="578"/>
        <w:gridCol w:w="578"/>
        <w:gridCol w:w="578"/>
        <w:gridCol w:w="465"/>
        <w:gridCol w:w="578"/>
        <w:gridCol w:w="578"/>
        <w:gridCol w:w="578"/>
        <w:gridCol w:w="578"/>
        <w:gridCol w:w="466"/>
      </w:tblGrid>
      <w:tr w14:paraId="2AAC90E8">
        <w:tblPrEx>
          <w:tblCellMar>
            <w:top w:w="0" w:type="dxa"/>
            <w:left w:w="10" w:type="dxa"/>
            <w:bottom w:w="0" w:type="dxa"/>
            <w:right w:w="10" w:type="dxa"/>
          </w:tblCellMar>
        </w:tblPrEx>
        <w:trPr>
          <w:trHeight w:val="0" w:hRule="atLeast"/>
          <w:jc w:val="center"/>
        </w:trPr>
        <w:tc>
          <w:tcPr>
            <w:tcW w:w="1664" w:type="pct"/>
            <w:gridSpan w:val="5"/>
            <w:tcBorders>
              <w:top w:val="single" w:color="auto" w:sz="4" w:space="0"/>
              <w:left w:val="single" w:color="auto" w:sz="4" w:space="0"/>
            </w:tcBorders>
            <w:shd w:val="clear" w:color="auto" w:fill="FFFFFF"/>
            <w:vAlign w:val="center"/>
          </w:tcPr>
          <w:p w14:paraId="1BEF5ABF">
            <w:pPr>
              <w:pStyle w:val="14"/>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行政复议</w:t>
            </w:r>
          </w:p>
        </w:tc>
        <w:tc>
          <w:tcPr>
            <w:tcW w:w="3335" w:type="pct"/>
            <w:gridSpan w:val="10"/>
            <w:tcBorders>
              <w:top w:val="single" w:color="auto" w:sz="4" w:space="0"/>
              <w:left w:val="single" w:color="auto" w:sz="4" w:space="0"/>
              <w:right w:val="single" w:color="auto" w:sz="4" w:space="0"/>
            </w:tcBorders>
            <w:shd w:val="clear" w:color="auto" w:fill="FFFFFF"/>
            <w:vAlign w:val="center"/>
          </w:tcPr>
          <w:p w14:paraId="0E1A7155">
            <w:pPr>
              <w:pStyle w:val="14"/>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行政诉讼</w:t>
            </w:r>
          </w:p>
        </w:tc>
      </w:tr>
      <w:tr w14:paraId="0F5B5394">
        <w:tblPrEx>
          <w:tblCellMar>
            <w:top w:w="0" w:type="dxa"/>
            <w:left w:w="10" w:type="dxa"/>
            <w:bottom w:w="0" w:type="dxa"/>
            <w:right w:w="10" w:type="dxa"/>
          </w:tblCellMar>
        </w:tblPrEx>
        <w:trPr>
          <w:trHeight w:val="0" w:hRule="atLeast"/>
          <w:jc w:val="center"/>
        </w:trPr>
        <w:tc>
          <w:tcPr>
            <w:tcW w:w="346" w:type="pct"/>
            <w:vMerge w:val="restart"/>
            <w:tcBorders>
              <w:top w:val="single" w:color="auto" w:sz="4" w:space="0"/>
              <w:left w:val="single" w:color="auto" w:sz="4" w:space="0"/>
            </w:tcBorders>
            <w:shd w:val="clear" w:color="auto" w:fill="FFFFFF"/>
            <w:vAlign w:val="center"/>
          </w:tcPr>
          <w:p w14:paraId="5DC5B070">
            <w:pPr>
              <w:pStyle w:val="14"/>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47" w:type="pct"/>
            <w:vMerge w:val="restart"/>
            <w:tcBorders>
              <w:top w:val="single" w:color="auto" w:sz="4" w:space="0"/>
              <w:left w:val="single" w:color="auto" w:sz="4" w:space="0"/>
            </w:tcBorders>
            <w:shd w:val="clear" w:color="auto" w:fill="FFFFFF"/>
            <w:vAlign w:val="center"/>
          </w:tcPr>
          <w:p w14:paraId="51887574">
            <w:pPr>
              <w:pStyle w:val="14"/>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47" w:type="pct"/>
            <w:vMerge w:val="restart"/>
            <w:tcBorders>
              <w:top w:val="single" w:color="auto" w:sz="4" w:space="0"/>
              <w:left w:val="single" w:color="auto" w:sz="4" w:space="0"/>
            </w:tcBorders>
            <w:shd w:val="clear" w:color="auto" w:fill="FFFFFF"/>
            <w:vAlign w:val="center"/>
          </w:tcPr>
          <w:p w14:paraId="62ED0386">
            <w:pPr>
              <w:pStyle w:val="14"/>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47" w:type="pct"/>
            <w:vMerge w:val="restart"/>
            <w:tcBorders>
              <w:top w:val="single" w:color="auto" w:sz="4" w:space="0"/>
              <w:left w:val="single" w:color="auto" w:sz="4" w:space="0"/>
            </w:tcBorders>
            <w:shd w:val="clear" w:color="auto" w:fill="FFFFFF"/>
            <w:vAlign w:val="center"/>
          </w:tcPr>
          <w:p w14:paraId="2736A27E">
            <w:pPr>
              <w:pStyle w:val="14"/>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276" w:type="pct"/>
            <w:vMerge w:val="restart"/>
            <w:tcBorders>
              <w:top w:val="single" w:color="auto" w:sz="4" w:space="0"/>
              <w:left w:val="single" w:color="auto" w:sz="4" w:space="0"/>
            </w:tcBorders>
            <w:shd w:val="clear" w:color="auto" w:fill="FFFFFF"/>
            <w:textDirection w:val="tbRlV"/>
            <w:vAlign w:val="bottom"/>
          </w:tcPr>
          <w:p w14:paraId="07E32E09">
            <w:pPr>
              <w:pStyle w:val="12"/>
              <w:keepNext w:val="0"/>
              <w:keepLines w:val="0"/>
              <w:pageBreakBefore w:val="0"/>
              <w:widowControl w:val="0"/>
              <w:kinsoku/>
              <w:wordWrap/>
              <w:overflowPunct/>
              <w:topLinePunct w:val="0"/>
              <w:autoSpaceDE/>
              <w:autoSpaceDN/>
              <w:bidi w:val="0"/>
              <w:adjustRightInd/>
              <w:snapToGrid w:val="0"/>
              <w:spacing w:before="0" w:line="44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1667" w:type="pct"/>
            <w:gridSpan w:val="5"/>
            <w:tcBorders>
              <w:top w:val="single" w:color="auto" w:sz="4" w:space="0"/>
              <w:left w:val="single" w:color="auto" w:sz="4" w:space="0"/>
            </w:tcBorders>
            <w:shd w:val="clear" w:color="auto" w:fill="FFFFFF"/>
            <w:vAlign w:val="center"/>
          </w:tcPr>
          <w:p w14:paraId="4E408F8C">
            <w:pPr>
              <w:pStyle w:val="14"/>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未经复议直接起诉</w:t>
            </w:r>
          </w:p>
        </w:tc>
        <w:tc>
          <w:tcPr>
            <w:tcW w:w="1667" w:type="pct"/>
            <w:gridSpan w:val="5"/>
            <w:tcBorders>
              <w:top w:val="single" w:color="auto" w:sz="4" w:space="0"/>
              <w:left w:val="single" w:color="auto" w:sz="4" w:space="0"/>
              <w:right w:val="single" w:color="auto" w:sz="4" w:space="0"/>
            </w:tcBorders>
            <w:shd w:val="clear" w:color="auto" w:fill="FFFFFF"/>
            <w:vAlign w:val="center"/>
          </w:tcPr>
          <w:p w14:paraId="0968840B">
            <w:pPr>
              <w:pStyle w:val="14"/>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复议后起诉</w:t>
            </w:r>
          </w:p>
        </w:tc>
      </w:tr>
      <w:tr w14:paraId="7EE99305">
        <w:tblPrEx>
          <w:tblCellMar>
            <w:top w:w="0" w:type="dxa"/>
            <w:left w:w="10" w:type="dxa"/>
            <w:bottom w:w="0" w:type="dxa"/>
            <w:right w:w="10" w:type="dxa"/>
          </w:tblCellMar>
        </w:tblPrEx>
        <w:trPr>
          <w:trHeight w:val="0" w:hRule="atLeast"/>
          <w:jc w:val="center"/>
        </w:trPr>
        <w:tc>
          <w:tcPr>
            <w:tcW w:w="346" w:type="pct"/>
            <w:vMerge w:val="continue"/>
            <w:tcBorders>
              <w:left w:val="single" w:color="auto" w:sz="4" w:space="0"/>
            </w:tcBorders>
            <w:shd w:val="clear" w:color="auto" w:fill="FFFFFF"/>
            <w:vAlign w:val="center"/>
          </w:tcPr>
          <w:p w14:paraId="0474BCBC">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cs="Times New Roman"/>
                <w:color w:val="auto"/>
              </w:rPr>
            </w:pPr>
          </w:p>
        </w:tc>
        <w:tc>
          <w:tcPr>
            <w:tcW w:w="347" w:type="pct"/>
            <w:vMerge w:val="continue"/>
            <w:tcBorders>
              <w:left w:val="single" w:color="auto" w:sz="4" w:space="0"/>
            </w:tcBorders>
            <w:shd w:val="clear" w:color="auto" w:fill="FFFFFF"/>
            <w:vAlign w:val="center"/>
          </w:tcPr>
          <w:p w14:paraId="06F3A044">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cs="Times New Roman"/>
                <w:color w:val="auto"/>
              </w:rPr>
            </w:pPr>
          </w:p>
        </w:tc>
        <w:tc>
          <w:tcPr>
            <w:tcW w:w="347" w:type="pct"/>
            <w:vMerge w:val="continue"/>
            <w:tcBorders>
              <w:left w:val="single" w:color="auto" w:sz="4" w:space="0"/>
            </w:tcBorders>
            <w:shd w:val="clear" w:color="auto" w:fill="FFFFFF"/>
            <w:vAlign w:val="center"/>
          </w:tcPr>
          <w:p w14:paraId="7F09F251">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cs="Times New Roman"/>
                <w:color w:val="auto"/>
              </w:rPr>
            </w:pPr>
          </w:p>
        </w:tc>
        <w:tc>
          <w:tcPr>
            <w:tcW w:w="347" w:type="pct"/>
            <w:vMerge w:val="continue"/>
            <w:tcBorders>
              <w:left w:val="single" w:color="auto" w:sz="4" w:space="0"/>
            </w:tcBorders>
            <w:shd w:val="clear" w:color="auto" w:fill="FFFFFF"/>
            <w:vAlign w:val="center"/>
          </w:tcPr>
          <w:p w14:paraId="6A45BFB5">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cs="Times New Roman"/>
                <w:color w:val="auto"/>
              </w:rPr>
            </w:pPr>
          </w:p>
        </w:tc>
        <w:tc>
          <w:tcPr>
            <w:tcW w:w="276" w:type="pct"/>
            <w:vMerge w:val="continue"/>
            <w:tcBorders>
              <w:left w:val="single" w:color="auto" w:sz="4" w:space="0"/>
            </w:tcBorders>
            <w:shd w:val="clear" w:color="auto" w:fill="FFFFFF"/>
            <w:textDirection w:val="tbRlV"/>
            <w:vAlign w:val="bottom"/>
          </w:tcPr>
          <w:p w14:paraId="237CCA74">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cs="Times New Roman"/>
                <w:color w:val="auto"/>
              </w:rPr>
            </w:pPr>
          </w:p>
        </w:tc>
        <w:tc>
          <w:tcPr>
            <w:tcW w:w="347" w:type="pct"/>
            <w:tcBorders>
              <w:top w:val="single" w:color="auto" w:sz="4" w:space="0"/>
              <w:left w:val="single" w:color="auto" w:sz="4" w:space="0"/>
            </w:tcBorders>
            <w:shd w:val="clear" w:color="auto" w:fill="FFFFFF"/>
            <w:vAlign w:val="center"/>
          </w:tcPr>
          <w:p w14:paraId="74BD2F56">
            <w:pPr>
              <w:pStyle w:val="14"/>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47" w:type="pct"/>
            <w:tcBorders>
              <w:top w:val="single" w:color="auto" w:sz="4" w:space="0"/>
              <w:left w:val="single" w:color="auto" w:sz="4" w:space="0"/>
            </w:tcBorders>
            <w:shd w:val="clear" w:color="auto" w:fill="FFFFFF"/>
            <w:vAlign w:val="center"/>
          </w:tcPr>
          <w:p w14:paraId="24F0F9BB">
            <w:pPr>
              <w:pStyle w:val="14"/>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47" w:type="pct"/>
            <w:tcBorders>
              <w:top w:val="single" w:color="auto" w:sz="4" w:space="0"/>
              <w:left w:val="single" w:color="auto" w:sz="4" w:space="0"/>
            </w:tcBorders>
            <w:shd w:val="clear" w:color="auto" w:fill="FFFFFF"/>
            <w:vAlign w:val="center"/>
          </w:tcPr>
          <w:p w14:paraId="58A4FF4B">
            <w:pPr>
              <w:pStyle w:val="14"/>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47" w:type="pct"/>
            <w:tcBorders>
              <w:top w:val="single" w:color="auto" w:sz="4" w:space="0"/>
              <w:left w:val="single" w:color="auto" w:sz="4" w:space="0"/>
            </w:tcBorders>
            <w:shd w:val="clear" w:color="auto" w:fill="FFFFFF"/>
            <w:vAlign w:val="center"/>
          </w:tcPr>
          <w:p w14:paraId="4DB0D91B">
            <w:pPr>
              <w:pStyle w:val="14"/>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279" w:type="pct"/>
            <w:tcBorders>
              <w:top w:val="single" w:color="auto" w:sz="4" w:space="0"/>
              <w:left w:val="single" w:color="auto" w:sz="4" w:space="0"/>
            </w:tcBorders>
            <w:shd w:val="clear" w:color="auto" w:fill="FFFFFF"/>
            <w:textDirection w:val="tbRlV"/>
          </w:tcPr>
          <w:p w14:paraId="6C2C5DD4">
            <w:pPr>
              <w:pStyle w:val="12"/>
              <w:keepNext w:val="0"/>
              <w:keepLines w:val="0"/>
              <w:pageBreakBefore w:val="0"/>
              <w:widowControl w:val="0"/>
              <w:kinsoku/>
              <w:wordWrap/>
              <w:overflowPunct/>
              <w:topLinePunct w:val="0"/>
              <w:autoSpaceDE/>
              <w:autoSpaceDN/>
              <w:bidi w:val="0"/>
              <w:adjustRightInd/>
              <w:snapToGrid w:val="0"/>
              <w:spacing w:before="0" w:line="44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347" w:type="pct"/>
            <w:tcBorders>
              <w:top w:val="single" w:color="auto" w:sz="4" w:space="0"/>
              <w:left w:val="single" w:color="auto" w:sz="4" w:space="0"/>
            </w:tcBorders>
            <w:shd w:val="clear" w:color="auto" w:fill="FFFFFF"/>
            <w:vAlign w:val="center"/>
          </w:tcPr>
          <w:p w14:paraId="6C4A232A">
            <w:pPr>
              <w:pStyle w:val="14"/>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47" w:type="pct"/>
            <w:tcBorders>
              <w:top w:val="single" w:color="auto" w:sz="4" w:space="0"/>
              <w:left w:val="single" w:color="auto" w:sz="4" w:space="0"/>
            </w:tcBorders>
            <w:shd w:val="clear" w:color="auto" w:fill="FFFFFF"/>
            <w:vAlign w:val="center"/>
          </w:tcPr>
          <w:p w14:paraId="60638F7F">
            <w:pPr>
              <w:pStyle w:val="14"/>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47" w:type="pct"/>
            <w:tcBorders>
              <w:top w:val="single" w:color="auto" w:sz="4" w:space="0"/>
              <w:left w:val="single" w:color="auto" w:sz="4" w:space="0"/>
            </w:tcBorders>
            <w:shd w:val="clear" w:color="auto" w:fill="FFFFFF"/>
            <w:vAlign w:val="center"/>
          </w:tcPr>
          <w:p w14:paraId="0F86A135">
            <w:pPr>
              <w:pStyle w:val="14"/>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47" w:type="pct"/>
            <w:tcBorders>
              <w:top w:val="single" w:color="auto" w:sz="4" w:space="0"/>
              <w:left w:val="single" w:color="auto" w:sz="4" w:space="0"/>
            </w:tcBorders>
            <w:shd w:val="clear" w:color="auto" w:fill="FFFFFF"/>
            <w:vAlign w:val="center"/>
          </w:tcPr>
          <w:p w14:paraId="7717C7C3">
            <w:pPr>
              <w:pStyle w:val="14"/>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279" w:type="pct"/>
            <w:tcBorders>
              <w:top w:val="single" w:color="auto" w:sz="4" w:space="0"/>
              <w:left w:val="single" w:color="auto" w:sz="4" w:space="0"/>
              <w:right w:val="single" w:color="auto" w:sz="4" w:space="0"/>
            </w:tcBorders>
            <w:shd w:val="clear" w:color="auto" w:fill="FFFFFF"/>
            <w:textDirection w:val="tbRlV"/>
          </w:tcPr>
          <w:p w14:paraId="2D0BAF0D">
            <w:pPr>
              <w:pStyle w:val="12"/>
              <w:keepNext w:val="0"/>
              <w:keepLines w:val="0"/>
              <w:pageBreakBefore w:val="0"/>
              <w:widowControl w:val="0"/>
              <w:kinsoku/>
              <w:wordWrap/>
              <w:overflowPunct/>
              <w:topLinePunct w:val="0"/>
              <w:autoSpaceDE/>
              <w:autoSpaceDN/>
              <w:bidi w:val="0"/>
              <w:adjustRightInd/>
              <w:snapToGrid w:val="0"/>
              <w:spacing w:before="0" w:line="44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r>
      <w:tr w14:paraId="474482AC">
        <w:tblPrEx>
          <w:tblCellMar>
            <w:top w:w="0" w:type="dxa"/>
            <w:left w:w="10" w:type="dxa"/>
            <w:bottom w:w="0" w:type="dxa"/>
            <w:right w:w="10" w:type="dxa"/>
          </w:tblCellMar>
        </w:tblPrEx>
        <w:trPr>
          <w:trHeight w:val="0" w:hRule="atLeast"/>
          <w:jc w:val="center"/>
        </w:trPr>
        <w:tc>
          <w:tcPr>
            <w:tcW w:w="346" w:type="pct"/>
            <w:tcBorders>
              <w:top w:val="single" w:color="auto" w:sz="4" w:space="0"/>
              <w:left w:val="single" w:color="auto" w:sz="4" w:space="0"/>
              <w:bottom w:val="single" w:color="auto" w:sz="4" w:space="0"/>
            </w:tcBorders>
            <w:shd w:val="clear" w:color="auto" w:fill="FFFFFF"/>
            <w:vAlign w:val="center"/>
          </w:tcPr>
          <w:p w14:paraId="62C66780">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0</w:t>
            </w:r>
          </w:p>
        </w:tc>
        <w:tc>
          <w:tcPr>
            <w:tcW w:w="347" w:type="pct"/>
            <w:tcBorders>
              <w:top w:val="single" w:color="auto" w:sz="4" w:space="0"/>
              <w:left w:val="single" w:color="auto" w:sz="4" w:space="0"/>
              <w:bottom w:val="single" w:color="auto" w:sz="4" w:space="0"/>
            </w:tcBorders>
            <w:shd w:val="clear" w:color="auto" w:fill="FFFFFF"/>
            <w:vAlign w:val="center"/>
          </w:tcPr>
          <w:p w14:paraId="5040586F">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0</w:t>
            </w:r>
          </w:p>
        </w:tc>
        <w:tc>
          <w:tcPr>
            <w:tcW w:w="347" w:type="pct"/>
            <w:tcBorders>
              <w:top w:val="single" w:color="auto" w:sz="4" w:space="0"/>
              <w:left w:val="single" w:color="auto" w:sz="4" w:space="0"/>
              <w:bottom w:val="single" w:color="auto" w:sz="4" w:space="0"/>
            </w:tcBorders>
            <w:shd w:val="clear" w:color="auto" w:fill="FFFFFF"/>
            <w:vAlign w:val="center"/>
          </w:tcPr>
          <w:p w14:paraId="2F8660FF">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0</w:t>
            </w:r>
          </w:p>
        </w:tc>
        <w:tc>
          <w:tcPr>
            <w:tcW w:w="347" w:type="pct"/>
            <w:tcBorders>
              <w:top w:val="single" w:color="auto" w:sz="4" w:space="0"/>
              <w:left w:val="single" w:color="auto" w:sz="4" w:space="0"/>
              <w:bottom w:val="single" w:color="auto" w:sz="4" w:space="0"/>
            </w:tcBorders>
            <w:shd w:val="clear" w:color="auto" w:fill="FFFFFF"/>
            <w:vAlign w:val="center"/>
          </w:tcPr>
          <w:p w14:paraId="663C584D">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0</w:t>
            </w:r>
          </w:p>
        </w:tc>
        <w:tc>
          <w:tcPr>
            <w:tcW w:w="276" w:type="pct"/>
            <w:tcBorders>
              <w:top w:val="single" w:color="auto" w:sz="4" w:space="0"/>
              <w:left w:val="single" w:color="auto" w:sz="4" w:space="0"/>
              <w:bottom w:val="single" w:color="auto" w:sz="4" w:space="0"/>
            </w:tcBorders>
            <w:shd w:val="clear" w:color="auto" w:fill="FFFFFF"/>
            <w:vAlign w:val="center"/>
          </w:tcPr>
          <w:p w14:paraId="4667EADD">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0</w:t>
            </w:r>
          </w:p>
        </w:tc>
        <w:tc>
          <w:tcPr>
            <w:tcW w:w="347" w:type="pct"/>
            <w:tcBorders>
              <w:top w:val="single" w:color="auto" w:sz="4" w:space="0"/>
              <w:left w:val="single" w:color="auto" w:sz="4" w:space="0"/>
              <w:bottom w:val="single" w:color="auto" w:sz="4" w:space="0"/>
            </w:tcBorders>
            <w:shd w:val="clear" w:color="auto" w:fill="FFFFFF"/>
            <w:vAlign w:val="center"/>
          </w:tcPr>
          <w:p w14:paraId="79F799EA">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0</w:t>
            </w:r>
          </w:p>
        </w:tc>
        <w:tc>
          <w:tcPr>
            <w:tcW w:w="347" w:type="pct"/>
            <w:tcBorders>
              <w:top w:val="single" w:color="auto" w:sz="4" w:space="0"/>
              <w:left w:val="single" w:color="auto" w:sz="4" w:space="0"/>
              <w:bottom w:val="single" w:color="auto" w:sz="4" w:space="0"/>
            </w:tcBorders>
            <w:shd w:val="clear" w:color="auto" w:fill="FFFFFF"/>
            <w:vAlign w:val="center"/>
          </w:tcPr>
          <w:p w14:paraId="05CC0593">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0</w:t>
            </w:r>
          </w:p>
        </w:tc>
        <w:tc>
          <w:tcPr>
            <w:tcW w:w="347" w:type="pct"/>
            <w:tcBorders>
              <w:top w:val="single" w:color="auto" w:sz="4" w:space="0"/>
              <w:left w:val="single" w:color="auto" w:sz="4" w:space="0"/>
              <w:bottom w:val="single" w:color="auto" w:sz="4" w:space="0"/>
            </w:tcBorders>
            <w:shd w:val="clear" w:color="auto" w:fill="FFFFFF"/>
            <w:vAlign w:val="center"/>
          </w:tcPr>
          <w:p w14:paraId="5DCD15F3">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0</w:t>
            </w:r>
          </w:p>
        </w:tc>
        <w:tc>
          <w:tcPr>
            <w:tcW w:w="347" w:type="pct"/>
            <w:tcBorders>
              <w:top w:val="single" w:color="auto" w:sz="4" w:space="0"/>
              <w:left w:val="single" w:color="auto" w:sz="4" w:space="0"/>
              <w:bottom w:val="single" w:color="auto" w:sz="4" w:space="0"/>
            </w:tcBorders>
            <w:shd w:val="clear" w:color="auto" w:fill="FFFFFF"/>
            <w:vAlign w:val="center"/>
          </w:tcPr>
          <w:p w14:paraId="00629105">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0</w:t>
            </w:r>
          </w:p>
        </w:tc>
        <w:tc>
          <w:tcPr>
            <w:tcW w:w="279" w:type="pct"/>
            <w:tcBorders>
              <w:top w:val="single" w:color="auto" w:sz="4" w:space="0"/>
              <w:left w:val="single" w:color="auto" w:sz="4" w:space="0"/>
              <w:bottom w:val="single" w:color="auto" w:sz="4" w:space="0"/>
            </w:tcBorders>
            <w:shd w:val="clear" w:color="auto" w:fill="FFFFFF"/>
            <w:vAlign w:val="center"/>
          </w:tcPr>
          <w:p w14:paraId="76F8DB1B">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0</w:t>
            </w:r>
          </w:p>
        </w:tc>
        <w:tc>
          <w:tcPr>
            <w:tcW w:w="347" w:type="pct"/>
            <w:tcBorders>
              <w:top w:val="single" w:color="auto" w:sz="4" w:space="0"/>
              <w:left w:val="single" w:color="auto" w:sz="4" w:space="0"/>
              <w:bottom w:val="single" w:color="auto" w:sz="4" w:space="0"/>
            </w:tcBorders>
            <w:shd w:val="clear" w:color="auto" w:fill="FFFFFF"/>
            <w:vAlign w:val="center"/>
          </w:tcPr>
          <w:p w14:paraId="0A3999BF">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0</w:t>
            </w:r>
          </w:p>
        </w:tc>
        <w:tc>
          <w:tcPr>
            <w:tcW w:w="347" w:type="pct"/>
            <w:tcBorders>
              <w:top w:val="single" w:color="auto" w:sz="4" w:space="0"/>
              <w:left w:val="single" w:color="auto" w:sz="4" w:space="0"/>
              <w:bottom w:val="single" w:color="auto" w:sz="4" w:space="0"/>
            </w:tcBorders>
            <w:shd w:val="clear" w:color="auto" w:fill="FFFFFF"/>
            <w:vAlign w:val="center"/>
          </w:tcPr>
          <w:p w14:paraId="62C86BB1">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0</w:t>
            </w:r>
          </w:p>
        </w:tc>
        <w:tc>
          <w:tcPr>
            <w:tcW w:w="347" w:type="pct"/>
            <w:tcBorders>
              <w:top w:val="single" w:color="auto" w:sz="4" w:space="0"/>
              <w:left w:val="single" w:color="auto" w:sz="4" w:space="0"/>
              <w:bottom w:val="single" w:color="auto" w:sz="4" w:space="0"/>
            </w:tcBorders>
            <w:shd w:val="clear" w:color="auto" w:fill="FFFFFF"/>
            <w:vAlign w:val="center"/>
          </w:tcPr>
          <w:p w14:paraId="1D9C4302">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0</w:t>
            </w:r>
          </w:p>
        </w:tc>
        <w:tc>
          <w:tcPr>
            <w:tcW w:w="347" w:type="pct"/>
            <w:tcBorders>
              <w:top w:val="single" w:color="auto" w:sz="4" w:space="0"/>
              <w:left w:val="single" w:color="auto" w:sz="4" w:space="0"/>
              <w:bottom w:val="single" w:color="auto" w:sz="4" w:space="0"/>
            </w:tcBorders>
            <w:shd w:val="clear" w:color="auto" w:fill="FFFFFF"/>
            <w:vAlign w:val="center"/>
          </w:tcPr>
          <w:p w14:paraId="1A72AC5B">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0</w:t>
            </w:r>
          </w:p>
        </w:tc>
        <w:tc>
          <w:tcPr>
            <w:tcW w:w="279" w:type="pct"/>
            <w:tcBorders>
              <w:top w:val="single" w:color="auto" w:sz="4" w:space="0"/>
              <w:left w:val="single" w:color="auto" w:sz="4" w:space="0"/>
              <w:bottom w:val="single" w:color="auto" w:sz="4" w:space="0"/>
              <w:right w:val="single" w:color="auto" w:sz="4" w:space="0"/>
            </w:tcBorders>
            <w:shd w:val="clear" w:color="auto" w:fill="FFFFFF"/>
            <w:vAlign w:val="center"/>
          </w:tcPr>
          <w:p w14:paraId="15CEB710">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0</w:t>
            </w:r>
          </w:p>
        </w:tc>
      </w:tr>
    </w:tbl>
    <w:p w14:paraId="6D313D22">
      <w:pPr>
        <w:pStyle w:val="13"/>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黑体" w:cs="Times New Roman"/>
          <w:bCs/>
          <w:color w:val="auto"/>
          <w:sz w:val="32"/>
          <w:szCs w:val="32"/>
          <w:highlight w:val="none"/>
          <w:lang w:val="en-US" w:eastAsia="zh-CN"/>
        </w:rPr>
      </w:pPr>
      <w:r>
        <w:rPr>
          <w:rFonts w:hint="default" w:ascii="Times New Roman" w:hAnsi="Times New Roman" w:eastAsia="黑体" w:cs="Times New Roman"/>
          <w:bCs/>
          <w:color w:val="auto"/>
          <w:sz w:val="32"/>
          <w:szCs w:val="32"/>
          <w:highlight w:val="none"/>
          <w:lang w:val="en-US" w:eastAsia="zh-CN"/>
        </w:rPr>
        <w:t>五、存在的主要问题及改进情况</w:t>
      </w:r>
    </w:p>
    <w:p w14:paraId="460B2588">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outlineLvl w:val="9"/>
        <w:rPr>
          <w:rFonts w:hint="default" w:ascii="Times New Roman" w:hAnsi="Times New Roman" w:eastAsia="楷体_GB2312" w:cs="Times New Roman"/>
          <w:bCs/>
          <w:color w:val="auto"/>
          <w:sz w:val="32"/>
          <w:szCs w:val="32"/>
          <w:highlight w:val="none"/>
          <w:lang w:val="en-US" w:eastAsia="zh-CN"/>
        </w:rPr>
      </w:pPr>
      <w:bookmarkStart w:id="9" w:name="OLE_LINK1"/>
      <w:r>
        <w:rPr>
          <w:rFonts w:hint="default" w:ascii="Times New Roman" w:hAnsi="Times New Roman" w:eastAsia="楷体_GB2312" w:cs="Times New Roman"/>
          <w:bCs/>
          <w:color w:val="auto"/>
          <w:sz w:val="32"/>
          <w:szCs w:val="32"/>
          <w:highlight w:val="none"/>
          <w:lang w:val="en-US" w:eastAsia="zh-CN"/>
        </w:rPr>
        <w:t>（一）2024年存在问题整改情况</w:t>
      </w:r>
    </w:p>
    <w:p w14:paraId="1A4DB3F3">
      <w:pPr>
        <w:keepNext w:val="0"/>
        <w:keepLines w:val="0"/>
        <w:pageBreakBefore w:val="0"/>
        <w:widowControl w:val="0"/>
        <w:kinsoku/>
        <w:wordWrap/>
        <w:overflowPunct w:val="0"/>
        <w:topLinePunct w:val="0"/>
        <w:autoSpaceDE w:val="0"/>
        <w:autoSpaceDN w:val="0"/>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highlight w:val="yellow"/>
          <w:shd w:val="clear" w:color="auto" w:fill="FFFFFF"/>
          <w:lang w:val="en-US" w:eastAsia="zh-CN"/>
        </w:rPr>
      </w:pPr>
      <w:r>
        <w:rPr>
          <w:rFonts w:hint="default" w:ascii="Times New Roman" w:hAnsi="Times New Roman" w:eastAsia="仿宋_GB2312" w:cs="Times New Roman"/>
          <w:color w:val="auto"/>
          <w:sz w:val="32"/>
          <w:szCs w:val="32"/>
          <w:highlight w:val="none"/>
          <w:shd w:val="clear" w:color="auto" w:fill="FFFFFF"/>
          <w:lang w:val="en-US" w:eastAsia="zh-CN"/>
        </w:rPr>
        <w:t>针对2024年在政务公开工作中存在的政策解读形式较为单一、公众互动参与渠道不够通畅、部分领域信息公开深度有待加强等问题，街道坚持以问题为导向，深入剖析原因，扎实推进各项整改措施落实，着力提升政务公开工作质效：</w:t>
      </w:r>
      <w:r>
        <w:rPr>
          <w:rFonts w:hint="default" w:ascii="Times New Roman" w:hAnsi="Times New Roman" w:eastAsia="宋体" w:cs="Times New Roman"/>
          <w:color w:val="auto"/>
          <w:sz w:val="32"/>
          <w:szCs w:val="32"/>
          <w:highlight w:val="none"/>
          <w:shd w:val="clear" w:color="auto" w:fill="FFFFFF"/>
          <w:lang w:val="en-US" w:eastAsia="zh-CN"/>
        </w:rPr>
        <w:t>一是创新解读方式</w:t>
      </w:r>
      <w:r>
        <w:rPr>
          <w:rFonts w:hint="default" w:ascii="Times New Roman" w:hAnsi="Times New Roman" w:eastAsia="仿宋_GB2312" w:cs="Times New Roman"/>
          <w:color w:val="auto"/>
          <w:sz w:val="32"/>
          <w:szCs w:val="32"/>
          <w:highlight w:val="none"/>
          <w:shd w:val="clear" w:color="auto" w:fill="FFFFFF"/>
          <w:lang w:val="en-US" w:eastAsia="zh-CN"/>
        </w:rPr>
        <w:t>，运用图文、视频等多种形式提升政策可读性；</w:t>
      </w:r>
      <w:r>
        <w:rPr>
          <w:rFonts w:hint="default" w:ascii="Times New Roman" w:hAnsi="Times New Roman" w:eastAsia="宋体" w:cs="Times New Roman"/>
          <w:color w:val="auto"/>
          <w:sz w:val="32"/>
          <w:szCs w:val="32"/>
          <w:highlight w:val="none"/>
          <w:shd w:val="clear" w:color="auto" w:fill="FFFFFF"/>
          <w:lang w:val="en-US" w:eastAsia="zh-CN"/>
        </w:rPr>
        <w:t>二是拓宽互动渠道</w:t>
      </w:r>
      <w:r>
        <w:rPr>
          <w:rFonts w:hint="default" w:ascii="Times New Roman" w:hAnsi="Times New Roman" w:eastAsia="仿宋_GB2312" w:cs="Times New Roman"/>
          <w:color w:val="auto"/>
          <w:sz w:val="32"/>
          <w:szCs w:val="32"/>
          <w:highlight w:val="none"/>
          <w:shd w:val="clear" w:color="auto" w:fill="FFFFFF"/>
          <w:lang w:val="en-US" w:eastAsia="zh-CN"/>
        </w:rPr>
        <w:t>，优化线上线下平台，及时回应群众关切；</w:t>
      </w:r>
      <w:r>
        <w:rPr>
          <w:rFonts w:hint="default" w:ascii="Times New Roman" w:hAnsi="Times New Roman" w:eastAsia="宋体" w:cs="Times New Roman"/>
          <w:color w:val="auto"/>
          <w:sz w:val="32"/>
          <w:szCs w:val="32"/>
          <w:highlight w:val="none"/>
          <w:shd w:val="clear" w:color="auto" w:fill="FFFFFF"/>
          <w:lang w:val="en-US" w:eastAsia="zh-CN"/>
        </w:rPr>
        <w:t>三是深化重点领域信息公开</w:t>
      </w:r>
      <w:r>
        <w:rPr>
          <w:rFonts w:hint="default" w:ascii="Times New Roman" w:hAnsi="Times New Roman" w:eastAsia="仿宋_GB2312" w:cs="Times New Roman"/>
          <w:color w:val="auto"/>
          <w:sz w:val="32"/>
          <w:szCs w:val="32"/>
          <w:highlight w:val="none"/>
          <w:shd w:val="clear" w:color="auto" w:fill="FFFFFF"/>
          <w:lang w:val="en-US" w:eastAsia="zh-CN"/>
        </w:rPr>
        <w:t>，细化内容标准，加强过程与结果公开；</w:t>
      </w:r>
      <w:r>
        <w:rPr>
          <w:rFonts w:hint="default" w:ascii="Times New Roman" w:hAnsi="Times New Roman" w:eastAsia="宋体" w:cs="Times New Roman"/>
          <w:color w:val="auto"/>
          <w:sz w:val="32"/>
          <w:szCs w:val="32"/>
          <w:highlight w:val="none"/>
          <w:shd w:val="clear" w:color="auto" w:fill="FFFFFF"/>
          <w:lang w:val="en-US" w:eastAsia="zh-CN"/>
        </w:rPr>
        <w:t>四是健全长效机制</w:t>
      </w:r>
      <w:r>
        <w:rPr>
          <w:rFonts w:hint="default" w:ascii="Times New Roman" w:hAnsi="Times New Roman" w:eastAsia="仿宋_GB2312" w:cs="Times New Roman"/>
          <w:color w:val="auto"/>
          <w:sz w:val="32"/>
          <w:szCs w:val="32"/>
          <w:highlight w:val="none"/>
          <w:shd w:val="clear" w:color="auto" w:fill="FFFFFF"/>
          <w:lang w:val="en-US" w:eastAsia="zh-CN"/>
        </w:rPr>
        <w:t>，加强队伍建设与考核，通过整改，公开实效与公众参与度、满意度得到有效提升，持续提升政务公开工作规范化水平。</w:t>
      </w:r>
    </w:p>
    <w:bookmarkEnd w:id="9"/>
    <w:p w14:paraId="1B80BBD2">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outlineLvl w:val="9"/>
        <w:rPr>
          <w:rFonts w:hint="default" w:ascii="Times New Roman" w:hAnsi="Times New Roman" w:eastAsia="楷体_GB2312" w:cs="Times New Roman"/>
          <w:bCs/>
          <w:color w:val="auto"/>
          <w:sz w:val="32"/>
          <w:szCs w:val="32"/>
          <w:highlight w:val="none"/>
          <w:lang w:val="en-US" w:eastAsia="zh-CN"/>
        </w:rPr>
      </w:pPr>
      <w:r>
        <w:rPr>
          <w:rFonts w:hint="default" w:ascii="Times New Roman" w:hAnsi="Times New Roman" w:eastAsia="楷体_GB2312" w:cs="Times New Roman"/>
          <w:bCs/>
          <w:color w:val="auto"/>
          <w:sz w:val="32"/>
          <w:szCs w:val="32"/>
          <w:highlight w:val="none"/>
          <w:lang w:val="en-US" w:eastAsia="zh-CN"/>
        </w:rPr>
        <w:t>（二）</w:t>
      </w:r>
      <w:bookmarkStart w:id="10" w:name="OLE_LINK2"/>
      <w:r>
        <w:rPr>
          <w:rFonts w:hint="default" w:ascii="Times New Roman" w:hAnsi="Times New Roman" w:eastAsia="楷体_GB2312" w:cs="Times New Roman"/>
          <w:bCs/>
          <w:color w:val="auto"/>
          <w:sz w:val="32"/>
          <w:szCs w:val="32"/>
          <w:highlight w:val="none"/>
          <w:lang w:val="en-US" w:eastAsia="zh-CN"/>
        </w:rPr>
        <w:t>2025年存在问题</w:t>
      </w:r>
      <w:bookmarkEnd w:id="10"/>
    </w:p>
    <w:p w14:paraId="69038C3D">
      <w:pPr>
        <w:keepNext w:val="0"/>
        <w:keepLines w:val="0"/>
        <w:pageBreakBefore w:val="0"/>
        <w:widowControl w:val="0"/>
        <w:kinsoku/>
        <w:wordWrap/>
        <w:overflowPunct w:val="0"/>
        <w:topLinePunct w:val="0"/>
        <w:autoSpaceDE w:val="0"/>
        <w:autoSpaceDN w:val="0"/>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highlight w:val="none"/>
          <w:shd w:val="clear" w:color="auto" w:fill="FFFFFF"/>
          <w:lang w:val="en-US" w:eastAsia="zh-CN"/>
        </w:rPr>
      </w:pPr>
      <w:r>
        <w:rPr>
          <w:rFonts w:hint="default" w:ascii="Times New Roman" w:hAnsi="Times New Roman" w:eastAsia="宋体" w:cs="Times New Roman"/>
          <w:color w:val="auto"/>
          <w:sz w:val="32"/>
          <w:szCs w:val="32"/>
          <w:highlight w:val="none"/>
          <w:shd w:val="clear" w:color="auto" w:fill="FFFFFF"/>
          <w:lang w:val="en-US" w:eastAsia="zh-CN"/>
        </w:rPr>
        <w:t>一是信息深度与实用性有待加强。</w:t>
      </w:r>
      <w:r>
        <w:rPr>
          <w:rFonts w:hint="default" w:ascii="Times New Roman" w:hAnsi="Times New Roman" w:eastAsia="仿宋_GB2312" w:cs="Times New Roman"/>
          <w:color w:val="auto"/>
          <w:sz w:val="32"/>
          <w:szCs w:val="32"/>
          <w:highlight w:val="none"/>
          <w:shd w:val="clear" w:color="auto" w:fill="FFFFFF"/>
          <w:lang w:val="en-US" w:eastAsia="zh-CN"/>
        </w:rPr>
        <w:t>目前，公开的信息在数量上</w:t>
      </w:r>
      <w:r>
        <w:rPr>
          <w:rFonts w:hint="eastAsia" w:eastAsia="仿宋_GB2312" w:cs="Times New Roman"/>
          <w:color w:val="auto"/>
          <w:sz w:val="32"/>
          <w:szCs w:val="32"/>
          <w:highlight w:val="none"/>
          <w:shd w:val="clear" w:color="auto" w:fill="FFFFFF"/>
          <w:lang w:val="en-US" w:eastAsia="zh-CN"/>
        </w:rPr>
        <w:t>较多</w:t>
      </w:r>
      <w:r>
        <w:rPr>
          <w:rFonts w:hint="default" w:ascii="Times New Roman" w:hAnsi="Times New Roman" w:eastAsia="仿宋_GB2312" w:cs="Times New Roman"/>
          <w:color w:val="auto"/>
          <w:sz w:val="32"/>
          <w:szCs w:val="32"/>
          <w:highlight w:val="none"/>
          <w:shd w:val="clear" w:color="auto" w:fill="FFFFFF"/>
          <w:lang w:val="en-US" w:eastAsia="zh-CN"/>
        </w:rPr>
        <w:t>，然而部分内容仅浮于表面，缺乏深度，像关键决策流程、政策制定依据、专项资金具体使用情况等核心信息披露不足；此外，信息展示形式单调，未依据公众需求进行合理分类与阐释，使得信息的实用价值与获取便捷性大打折扣。</w:t>
      </w:r>
    </w:p>
    <w:p w14:paraId="12B650A1">
      <w:pPr>
        <w:keepNext w:val="0"/>
        <w:keepLines w:val="0"/>
        <w:pageBreakBefore w:val="0"/>
        <w:widowControl w:val="0"/>
        <w:kinsoku/>
        <w:wordWrap/>
        <w:overflowPunct w:val="0"/>
        <w:topLinePunct w:val="0"/>
        <w:autoSpaceDE w:val="0"/>
        <w:autoSpaceDN w:val="0"/>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highlight w:val="none"/>
          <w:shd w:val="clear" w:color="auto" w:fill="FFFFFF"/>
          <w:lang w:val="en-US" w:eastAsia="zh-CN"/>
        </w:rPr>
      </w:pPr>
      <w:r>
        <w:rPr>
          <w:rFonts w:hint="default" w:ascii="Times New Roman" w:hAnsi="Times New Roman" w:eastAsia="宋体" w:cs="Times New Roman"/>
          <w:color w:val="auto"/>
          <w:sz w:val="32"/>
          <w:szCs w:val="32"/>
          <w:highlight w:val="none"/>
          <w:shd w:val="clear" w:color="auto" w:fill="FFFFFF"/>
          <w:lang w:val="en-US" w:eastAsia="zh-CN"/>
        </w:rPr>
        <w:t>二是信息公开时效性有待进一步提升。</w:t>
      </w:r>
      <w:r>
        <w:rPr>
          <w:rFonts w:hint="default" w:ascii="Times New Roman" w:hAnsi="Times New Roman" w:eastAsia="仿宋_GB2312" w:cs="Times New Roman"/>
          <w:color w:val="auto"/>
          <w:sz w:val="32"/>
          <w:szCs w:val="32"/>
          <w:highlight w:val="none"/>
          <w:shd w:val="clear" w:color="auto" w:fill="FFFFFF"/>
          <w:lang w:val="en-US" w:eastAsia="zh-CN"/>
        </w:rPr>
        <w:t>某些领域的信息，从产生到公开所经历的时间过长，未能完全满足公众对信息“快知悉”的需求。</w:t>
      </w:r>
    </w:p>
    <w:p w14:paraId="2C654299">
      <w:pPr>
        <w:keepNext w:val="0"/>
        <w:keepLines w:val="0"/>
        <w:pageBreakBefore w:val="0"/>
        <w:widowControl w:val="0"/>
        <w:kinsoku/>
        <w:wordWrap/>
        <w:overflowPunct w:val="0"/>
        <w:topLinePunct w:val="0"/>
        <w:autoSpaceDE w:val="0"/>
        <w:autoSpaceDN w:val="0"/>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highlight w:val="none"/>
          <w:shd w:val="clear" w:color="auto" w:fill="FFFFFF"/>
          <w:lang w:val="en-US" w:eastAsia="zh-CN"/>
        </w:rPr>
      </w:pPr>
      <w:r>
        <w:rPr>
          <w:rFonts w:hint="default" w:ascii="Times New Roman" w:hAnsi="Times New Roman" w:eastAsia="宋体" w:cs="Times New Roman"/>
          <w:color w:val="auto"/>
          <w:sz w:val="32"/>
          <w:szCs w:val="32"/>
          <w:highlight w:val="none"/>
          <w:shd w:val="clear" w:color="auto" w:fill="FFFFFF"/>
          <w:lang w:val="en-US" w:eastAsia="zh-CN"/>
        </w:rPr>
        <w:t>三是公开平台渠道的整合与便捷性有待优化。</w:t>
      </w:r>
      <w:r>
        <w:rPr>
          <w:rFonts w:hint="default" w:ascii="Times New Roman" w:hAnsi="Times New Roman" w:eastAsia="仿宋_GB2312" w:cs="Times New Roman"/>
          <w:color w:val="auto"/>
          <w:sz w:val="32"/>
          <w:szCs w:val="32"/>
          <w:highlight w:val="none"/>
          <w:shd w:val="clear" w:color="auto" w:fill="FFFFFF"/>
          <w:lang w:val="en-US" w:eastAsia="zh-CN"/>
        </w:rPr>
        <w:t>部分平台存在信息更新不同步、分类不统一、检索功能不完善等问题，影响公众获取信息的体验和效率。</w:t>
      </w:r>
    </w:p>
    <w:p w14:paraId="373DE3CE">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outlineLvl w:val="9"/>
        <w:rPr>
          <w:rFonts w:hint="default" w:ascii="Times New Roman" w:hAnsi="Times New Roman" w:eastAsia="楷体_GB2312" w:cs="Times New Roman"/>
          <w:bCs/>
          <w:color w:val="auto"/>
          <w:sz w:val="32"/>
          <w:szCs w:val="32"/>
          <w:highlight w:val="none"/>
          <w:lang w:val="en-US" w:eastAsia="zh-CN"/>
        </w:rPr>
      </w:pPr>
      <w:r>
        <w:rPr>
          <w:rFonts w:hint="default" w:ascii="Times New Roman" w:hAnsi="Times New Roman" w:eastAsia="楷体_GB2312" w:cs="Times New Roman"/>
          <w:bCs/>
          <w:color w:val="auto"/>
          <w:sz w:val="32"/>
          <w:szCs w:val="32"/>
          <w:highlight w:val="none"/>
          <w:lang w:val="en-US" w:eastAsia="zh-CN"/>
        </w:rPr>
        <w:t>（三）改进措施</w:t>
      </w:r>
    </w:p>
    <w:p w14:paraId="1B0A9D85">
      <w:pPr>
        <w:keepNext w:val="0"/>
        <w:keepLines w:val="0"/>
        <w:pageBreakBefore w:val="0"/>
        <w:widowControl w:val="0"/>
        <w:kinsoku/>
        <w:wordWrap/>
        <w:overflowPunct w:val="0"/>
        <w:topLinePunct w:val="0"/>
        <w:autoSpaceDE w:val="0"/>
        <w:autoSpaceDN w:val="0"/>
        <w:bidi w:val="0"/>
        <w:adjustRightInd/>
        <w:snapToGrid/>
        <w:spacing w:line="560" w:lineRule="exact"/>
        <w:ind w:firstLine="640" w:firstLineChars="200"/>
        <w:contextualSpacing/>
        <w:jc w:val="both"/>
        <w:textAlignment w:val="auto"/>
        <w:outlineLvl w:val="9"/>
        <w:rPr>
          <w:rFonts w:hint="default" w:ascii="Times New Roman" w:hAnsi="Times New Roman" w:eastAsia="仿宋_GB2312" w:cs="Times New Roman"/>
          <w:color w:val="auto"/>
          <w:sz w:val="32"/>
          <w:szCs w:val="32"/>
          <w:highlight w:val="none"/>
          <w:shd w:val="clear" w:color="auto" w:fill="FFFFFF"/>
          <w:lang w:val="en-US" w:eastAsia="zh-CN"/>
        </w:rPr>
      </w:pPr>
      <w:r>
        <w:rPr>
          <w:rFonts w:hint="default" w:ascii="Times New Roman" w:hAnsi="Times New Roman" w:eastAsia="宋体" w:cs="Times New Roman"/>
          <w:color w:val="auto"/>
          <w:sz w:val="32"/>
          <w:szCs w:val="32"/>
          <w:highlight w:val="none"/>
          <w:shd w:val="clear" w:color="auto" w:fill="FFFFFF"/>
          <w:lang w:val="en-US" w:eastAsia="zh-CN"/>
        </w:rPr>
        <w:t>一是深化内容供给，提升信息质量与实用性。</w:t>
      </w:r>
      <w:r>
        <w:rPr>
          <w:rFonts w:hint="default" w:ascii="Times New Roman" w:hAnsi="Times New Roman" w:eastAsia="仿宋_GB2312" w:cs="Times New Roman"/>
          <w:color w:val="auto"/>
          <w:sz w:val="32"/>
          <w:szCs w:val="32"/>
          <w:highlight w:val="none"/>
          <w:shd w:val="clear" w:color="auto" w:fill="FFFFFF"/>
          <w:lang w:val="en-US" w:eastAsia="zh-CN"/>
        </w:rPr>
        <w:t>建立健全重点领域信息深度公开清单，主动公开关键决策过程、专项资金使用明细及绩效等核心内</w:t>
      </w:r>
      <w:r>
        <w:rPr>
          <w:rFonts w:hint="eastAsia" w:ascii="仿宋_GB2312" w:hAnsi="仿宋_GB2312" w:eastAsia="仿宋_GB2312" w:cs="仿宋_GB2312"/>
          <w:color w:val="auto"/>
          <w:sz w:val="32"/>
          <w:szCs w:val="32"/>
          <w:highlight w:val="none"/>
          <w:shd w:val="clear" w:color="auto" w:fill="FFFFFF"/>
          <w:lang w:val="en-US" w:eastAsia="zh-CN"/>
        </w:rPr>
        <w:t>容。同时，推行“政策发布与解读材料同步”机制，采用图文、案例</w:t>
      </w:r>
      <w:r>
        <w:rPr>
          <w:rFonts w:hint="default" w:ascii="Times New Roman" w:hAnsi="Times New Roman" w:eastAsia="仿宋_GB2312" w:cs="Times New Roman"/>
          <w:color w:val="auto"/>
          <w:sz w:val="32"/>
          <w:szCs w:val="32"/>
          <w:highlight w:val="none"/>
          <w:shd w:val="clear" w:color="auto" w:fill="FFFFFF"/>
          <w:lang w:val="en-US" w:eastAsia="zh-CN"/>
        </w:rPr>
        <w:t>、视频等多种形式增强解读效果，并围绕公众关切整合形成专题信息产品。</w:t>
      </w:r>
    </w:p>
    <w:p w14:paraId="718B34CF">
      <w:pPr>
        <w:keepNext w:val="0"/>
        <w:keepLines w:val="0"/>
        <w:pageBreakBefore w:val="0"/>
        <w:widowControl w:val="0"/>
        <w:kinsoku/>
        <w:wordWrap/>
        <w:overflowPunct w:val="0"/>
        <w:topLinePunct w:val="0"/>
        <w:autoSpaceDE w:val="0"/>
        <w:autoSpaceDN w:val="0"/>
        <w:bidi w:val="0"/>
        <w:adjustRightInd/>
        <w:snapToGrid/>
        <w:spacing w:line="560" w:lineRule="exact"/>
        <w:ind w:firstLine="640" w:firstLineChars="200"/>
        <w:contextualSpacing/>
        <w:jc w:val="both"/>
        <w:textAlignment w:val="auto"/>
        <w:outlineLvl w:val="9"/>
        <w:rPr>
          <w:rFonts w:hint="default" w:ascii="Times New Roman" w:hAnsi="Times New Roman" w:eastAsia="仿宋_GB2312" w:cs="Times New Roman"/>
          <w:color w:val="auto"/>
          <w:sz w:val="32"/>
          <w:szCs w:val="32"/>
          <w:highlight w:val="none"/>
          <w:shd w:val="clear" w:color="auto" w:fill="FFFFFF"/>
          <w:lang w:val="en-US" w:eastAsia="zh-CN"/>
        </w:rPr>
      </w:pPr>
      <w:r>
        <w:rPr>
          <w:rFonts w:hint="default" w:ascii="Times New Roman" w:hAnsi="Times New Roman" w:eastAsia="宋体" w:cs="Times New Roman"/>
          <w:color w:val="auto"/>
          <w:sz w:val="32"/>
          <w:szCs w:val="32"/>
          <w:highlight w:val="none"/>
          <w:shd w:val="clear" w:color="auto" w:fill="FFFFFF"/>
          <w:lang w:val="en-US" w:eastAsia="zh-CN"/>
        </w:rPr>
        <w:t>二是提升时效管理，健全主动公开目录动态更新机制。</w:t>
      </w:r>
      <w:r>
        <w:rPr>
          <w:rFonts w:hint="default" w:ascii="Times New Roman" w:hAnsi="Times New Roman" w:eastAsia="仿宋_GB2312" w:cs="Times New Roman"/>
          <w:color w:val="auto"/>
          <w:sz w:val="32"/>
          <w:szCs w:val="32"/>
          <w:highlight w:val="none"/>
          <w:shd w:val="clear" w:color="auto" w:fill="FFFFFF"/>
          <w:lang w:val="en-US" w:eastAsia="zh-CN"/>
        </w:rPr>
        <w:t>紧扣企业与群众办事的实际需求，对办事指南、惠民惠企政策集锦等实用信息进行系统梳理与优化，增强信息服务的精准度和实效性。</w:t>
      </w:r>
    </w:p>
    <w:p w14:paraId="099E7696">
      <w:pPr>
        <w:keepNext w:val="0"/>
        <w:keepLines w:val="0"/>
        <w:pageBreakBefore w:val="0"/>
        <w:widowControl w:val="0"/>
        <w:kinsoku/>
        <w:wordWrap/>
        <w:overflowPunct w:val="0"/>
        <w:topLinePunct w:val="0"/>
        <w:autoSpaceDE w:val="0"/>
        <w:autoSpaceDN w:val="0"/>
        <w:bidi w:val="0"/>
        <w:adjustRightInd/>
        <w:snapToGrid/>
        <w:spacing w:line="560" w:lineRule="exact"/>
        <w:ind w:firstLine="640" w:firstLineChars="200"/>
        <w:contextualSpacing/>
        <w:jc w:val="both"/>
        <w:textAlignment w:val="auto"/>
        <w:outlineLvl w:val="9"/>
        <w:rPr>
          <w:rFonts w:hint="default" w:ascii="Times New Roman" w:hAnsi="Times New Roman" w:eastAsia="仿宋_GB2312" w:cs="Times New Roman"/>
          <w:color w:val="auto"/>
          <w:sz w:val="32"/>
          <w:szCs w:val="32"/>
          <w:highlight w:val="none"/>
          <w:shd w:val="clear" w:color="auto" w:fill="FFFFFF"/>
          <w:lang w:val="en-US" w:eastAsia="zh-CN"/>
        </w:rPr>
      </w:pPr>
      <w:r>
        <w:rPr>
          <w:rFonts w:hint="default" w:ascii="Times New Roman" w:hAnsi="Times New Roman" w:eastAsia="宋体" w:cs="Times New Roman"/>
          <w:color w:val="auto"/>
          <w:sz w:val="32"/>
          <w:szCs w:val="32"/>
          <w:highlight w:val="none"/>
          <w:shd w:val="clear" w:color="auto" w:fill="FFFFFF"/>
          <w:lang w:val="en-US" w:eastAsia="zh-CN"/>
        </w:rPr>
        <w:t>三是优化平台功能，推进多渠道融合发展。</w:t>
      </w:r>
      <w:r>
        <w:rPr>
          <w:rFonts w:hint="default" w:ascii="Times New Roman" w:hAnsi="Times New Roman" w:eastAsia="仿宋_GB2312" w:cs="Times New Roman"/>
          <w:color w:val="auto"/>
          <w:sz w:val="32"/>
          <w:szCs w:val="32"/>
          <w:highlight w:val="none"/>
          <w:shd w:val="clear" w:color="auto" w:fill="FFFFFF"/>
          <w:lang w:val="en-US" w:eastAsia="zh-CN"/>
        </w:rPr>
        <w:t>加大政务新媒体矩阵的建设与管理力度，确保重要信息实现源头统一发布、各平台协同运作。同时，在政务服务大厅等区域规范设立信息公开查询点，为公众提供便利的查询体验。</w:t>
      </w:r>
    </w:p>
    <w:p w14:paraId="4684E4E8">
      <w:pPr>
        <w:pStyle w:val="13"/>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黑体" w:cs="Times New Roman"/>
          <w:bCs/>
          <w:color w:val="auto"/>
          <w:sz w:val="32"/>
          <w:szCs w:val="32"/>
          <w:highlight w:val="none"/>
          <w:lang w:val="en-US" w:eastAsia="zh-CN"/>
        </w:rPr>
      </w:pPr>
      <w:r>
        <w:rPr>
          <w:rFonts w:hint="default" w:ascii="Times New Roman" w:hAnsi="Times New Roman" w:eastAsia="黑体" w:cs="Times New Roman"/>
          <w:bCs/>
          <w:color w:val="auto"/>
          <w:sz w:val="32"/>
          <w:szCs w:val="32"/>
          <w:highlight w:val="none"/>
          <w:lang w:val="en-US" w:eastAsia="zh-CN"/>
        </w:rPr>
        <w:t>六、其他需要报告的事项</w:t>
      </w:r>
    </w:p>
    <w:p w14:paraId="62B3A8CE">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outlineLvl w:val="9"/>
        <w:rPr>
          <w:rFonts w:hint="default" w:ascii="Times New Roman" w:hAnsi="Times New Roman" w:eastAsia="楷体_GB2312" w:cs="Times New Roman"/>
          <w:bCs/>
          <w:color w:val="auto"/>
          <w:sz w:val="32"/>
          <w:szCs w:val="32"/>
          <w:highlight w:val="none"/>
          <w:lang w:val="en-US" w:eastAsia="zh-CN"/>
        </w:rPr>
      </w:pPr>
      <w:r>
        <w:rPr>
          <w:rFonts w:hint="default" w:ascii="Times New Roman" w:hAnsi="Times New Roman" w:eastAsia="楷体_GB2312" w:cs="Times New Roman"/>
          <w:bCs/>
          <w:color w:val="auto"/>
          <w:sz w:val="32"/>
          <w:szCs w:val="32"/>
          <w:highlight w:val="none"/>
          <w:lang w:val="en-US" w:eastAsia="zh-CN"/>
        </w:rPr>
        <w:t>（一）收取信息处理费的情况</w:t>
      </w:r>
    </w:p>
    <w:p w14:paraId="727494F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shd w:val="clear" w:color="auto" w:fill="FFFFFF"/>
          <w:lang w:val="en-US" w:eastAsia="zh-CN" w:bidi="zh-TW"/>
        </w:rPr>
      </w:pPr>
      <w:r>
        <w:rPr>
          <w:rFonts w:hint="default" w:ascii="Times New Roman" w:hAnsi="Times New Roman" w:eastAsia="仿宋_GB2312" w:cs="Times New Roman"/>
          <w:color w:val="auto"/>
          <w:kern w:val="0"/>
          <w:sz w:val="32"/>
          <w:szCs w:val="32"/>
          <w:highlight w:val="none"/>
          <w:shd w:val="clear" w:color="auto" w:fill="FFFFFF"/>
          <w:lang w:val="en-US" w:eastAsia="zh-CN" w:bidi="zh-TW"/>
        </w:rPr>
        <w:t>本年度无依申请公开政府信息而收取信息处理费情况。</w:t>
      </w:r>
    </w:p>
    <w:p w14:paraId="6D8B3BA5">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outlineLvl w:val="9"/>
        <w:rPr>
          <w:rFonts w:hint="default" w:ascii="Times New Roman" w:hAnsi="Times New Roman" w:eastAsia="楷体_GB2312" w:cs="Times New Roman"/>
          <w:bCs/>
          <w:color w:val="auto"/>
          <w:sz w:val="32"/>
          <w:szCs w:val="32"/>
          <w:highlight w:val="none"/>
          <w:lang w:val="en-US" w:eastAsia="zh-CN"/>
        </w:rPr>
      </w:pPr>
      <w:r>
        <w:rPr>
          <w:rFonts w:hint="default" w:ascii="Times New Roman" w:hAnsi="Times New Roman" w:eastAsia="楷体_GB2312" w:cs="Times New Roman"/>
          <w:bCs/>
          <w:color w:val="auto"/>
          <w:sz w:val="32"/>
          <w:szCs w:val="32"/>
          <w:highlight w:val="none"/>
          <w:lang w:val="en-US" w:eastAsia="zh-CN"/>
        </w:rPr>
        <w:t>（二）落实上级年度政务公开工作要点情况</w:t>
      </w:r>
    </w:p>
    <w:p w14:paraId="53A3A461">
      <w:pPr>
        <w:keepNext w:val="0"/>
        <w:keepLines w:val="0"/>
        <w:pageBreakBefore w:val="0"/>
        <w:widowControl w:val="0"/>
        <w:kinsoku/>
        <w:wordWrap/>
        <w:overflowPunct w:val="0"/>
        <w:topLinePunct w:val="0"/>
        <w:autoSpaceDE w:val="0"/>
        <w:autoSpaceDN w:val="0"/>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0"/>
          <w:sz w:val="32"/>
          <w:szCs w:val="32"/>
          <w:highlight w:val="none"/>
          <w:shd w:val="clear" w:color="auto" w:fill="FFFFFF"/>
          <w:lang w:val="en-US" w:eastAsia="zh-CN" w:bidi="zh-TW"/>
        </w:rPr>
      </w:pPr>
      <w:r>
        <w:rPr>
          <w:rFonts w:hint="default" w:ascii="Times New Roman" w:hAnsi="Times New Roman" w:eastAsia="仿宋_GB2312" w:cs="Times New Roman"/>
          <w:color w:val="auto"/>
          <w:kern w:val="0"/>
          <w:sz w:val="32"/>
          <w:szCs w:val="32"/>
          <w:highlight w:val="none"/>
          <w:shd w:val="clear" w:color="auto" w:fill="FFFFFF"/>
          <w:lang w:val="en-US" w:eastAsia="zh-CN" w:bidi="zh-TW"/>
        </w:rPr>
        <w:t>矿区街道强化制度保障，严格落实</w:t>
      </w:r>
      <w:r>
        <w:rPr>
          <w:rFonts w:hint="eastAsia" w:eastAsia="仿宋_GB2312" w:cs="Times New Roman"/>
          <w:color w:val="auto"/>
          <w:kern w:val="0"/>
          <w:sz w:val="32"/>
          <w:szCs w:val="32"/>
          <w:highlight w:val="none"/>
          <w:shd w:val="clear" w:color="auto" w:fill="FFFFFF"/>
          <w:lang w:val="en-US" w:eastAsia="zh-CN" w:bidi="zh-TW"/>
        </w:rPr>
        <w:t>各项工作要求</w:t>
      </w:r>
      <w:r>
        <w:rPr>
          <w:rFonts w:hint="default" w:ascii="Times New Roman" w:hAnsi="Times New Roman" w:eastAsia="仿宋_GB2312" w:cs="Times New Roman"/>
          <w:color w:val="auto"/>
          <w:kern w:val="0"/>
          <w:sz w:val="32"/>
          <w:szCs w:val="32"/>
          <w:highlight w:val="none"/>
          <w:shd w:val="clear" w:color="auto" w:fill="FFFFFF"/>
          <w:lang w:val="en-US" w:eastAsia="zh-CN" w:bidi="zh-TW"/>
        </w:rPr>
        <w:t>，结合自身实际，进一步健全组织领导体制，构建了“主要领导带头做，分管领导具体抓，专职人员认真办，相关科室主动帮”的工作格局，保证了新媒体政务公开工作及时分配到岗、责任到人、落实到位。</w:t>
      </w:r>
    </w:p>
    <w:p w14:paraId="28A58A5A">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outlineLvl w:val="9"/>
        <w:rPr>
          <w:rFonts w:hint="default" w:ascii="Times New Roman" w:hAnsi="Times New Roman" w:eastAsia="楷体_GB2312" w:cs="Times New Roman"/>
          <w:bCs/>
          <w:color w:val="auto"/>
          <w:sz w:val="32"/>
          <w:szCs w:val="32"/>
          <w:highlight w:val="none"/>
          <w:lang w:val="en-US" w:eastAsia="zh-CN"/>
        </w:rPr>
      </w:pPr>
      <w:r>
        <w:rPr>
          <w:rFonts w:hint="default" w:ascii="Times New Roman" w:hAnsi="Times New Roman" w:eastAsia="楷体_GB2312" w:cs="Times New Roman"/>
          <w:bCs/>
          <w:color w:val="auto"/>
          <w:sz w:val="32"/>
          <w:szCs w:val="32"/>
          <w:highlight w:val="none"/>
          <w:lang w:val="en-US" w:eastAsia="zh-CN"/>
        </w:rPr>
        <w:t>（三）人大代表建议和政协委员提案办理情况</w:t>
      </w:r>
    </w:p>
    <w:p w14:paraId="34DEB80F">
      <w:pPr>
        <w:keepNext w:val="0"/>
        <w:keepLines w:val="0"/>
        <w:pageBreakBefore w:val="0"/>
        <w:widowControl w:val="0"/>
        <w:kinsoku/>
        <w:wordWrap/>
        <w:overflowPunct w:val="0"/>
        <w:topLinePunct w:val="0"/>
        <w:autoSpaceDE w:val="0"/>
        <w:autoSpaceDN w:val="0"/>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0"/>
          <w:sz w:val="32"/>
          <w:szCs w:val="32"/>
          <w:highlight w:val="none"/>
          <w:shd w:val="clear" w:color="auto" w:fill="FFFFFF"/>
          <w:lang w:val="en-US" w:eastAsia="zh-CN" w:bidi="zh-TW"/>
        </w:rPr>
      </w:pPr>
      <w:r>
        <w:rPr>
          <w:rFonts w:hint="default" w:ascii="Times New Roman" w:hAnsi="Times New Roman" w:eastAsia="仿宋_GB2312" w:cs="Times New Roman"/>
          <w:color w:val="auto"/>
          <w:kern w:val="0"/>
          <w:sz w:val="32"/>
          <w:szCs w:val="32"/>
          <w:highlight w:val="none"/>
          <w:shd w:val="clear" w:color="auto" w:fill="FFFFFF"/>
          <w:lang w:val="en-US" w:eastAsia="zh-CN" w:bidi="zh-TW"/>
        </w:rPr>
        <w:t>2025年，市中区矿区街道共收到区人大代表建议5件，已全部在规定时限内办理答复完毕，办结答复率、满意率均为100%。市中区矿区街道共收到政协委员提案20件，其中市政协委员提案1件，区政协委员提案19件，包含2件重点提案，涵盖经济建设、政治建设、文化建设、社会建设和生态文明建设等多个方面，我街道均为协办，目前已办理完成并答复主办单位，办结答复率、满意率均为100%。</w:t>
      </w:r>
    </w:p>
    <w:p w14:paraId="1591D047">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outlineLvl w:val="9"/>
        <w:rPr>
          <w:rFonts w:hint="default" w:ascii="Times New Roman" w:hAnsi="Times New Roman" w:eastAsia="楷体_GB2312" w:cs="Times New Roman"/>
          <w:bCs/>
          <w:color w:val="auto"/>
          <w:sz w:val="32"/>
          <w:szCs w:val="32"/>
          <w:highlight w:val="none"/>
          <w:lang w:val="en-US" w:eastAsia="zh-CN"/>
        </w:rPr>
      </w:pPr>
      <w:r>
        <w:rPr>
          <w:rFonts w:hint="default" w:ascii="Times New Roman" w:hAnsi="Times New Roman" w:eastAsia="楷体_GB2312" w:cs="Times New Roman"/>
          <w:bCs/>
          <w:color w:val="auto"/>
          <w:sz w:val="32"/>
          <w:szCs w:val="32"/>
          <w:highlight w:val="none"/>
          <w:lang w:val="en-US" w:eastAsia="zh-CN"/>
        </w:rPr>
        <w:t>（四）</w:t>
      </w:r>
      <w:bookmarkStart w:id="11" w:name="OLE_LINK3"/>
      <w:r>
        <w:rPr>
          <w:rFonts w:hint="default" w:ascii="Times New Roman" w:hAnsi="Times New Roman" w:eastAsia="楷体_GB2312" w:cs="Times New Roman"/>
          <w:bCs/>
          <w:color w:val="auto"/>
          <w:sz w:val="32"/>
          <w:szCs w:val="32"/>
          <w:highlight w:val="none"/>
          <w:lang w:val="en-US" w:eastAsia="zh-CN"/>
        </w:rPr>
        <w:t>本行政机关年度政务公开工作创新情况</w:t>
      </w:r>
      <w:bookmarkEnd w:id="11"/>
    </w:p>
    <w:p w14:paraId="6B604916">
      <w:pPr>
        <w:keepNext w:val="0"/>
        <w:keepLines w:val="0"/>
        <w:pageBreakBefore w:val="0"/>
        <w:widowControl w:val="0"/>
        <w:kinsoku/>
        <w:wordWrap/>
        <w:overflowPunct w:val="0"/>
        <w:topLinePunct w:val="0"/>
        <w:autoSpaceDE w:val="0"/>
        <w:autoSpaceDN w:val="0"/>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2025年度，街道</w:t>
      </w:r>
      <w:r>
        <w:rPr>
          <w:rFonts w:hint="default" w:ascii="Times New Roman" w:hAnsi="Times New Roman" w:eastAsia="仿宋_GB2312" w:cs="Times New Roman"/>
          <w:sz w:val="32"/>
        </w:rPr>
        <w:t>为进一步搭建沟通桥梁，扎实推进政民互动，加快推进阳光、透明、开放、服务型政府建设开展了政府开放月活动</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rPr>
        <w:t>居民代表们先后参观了矿区街道便民服务中心、“中兴YI家”志愿服务基地，“零距离”了解了街道近年来在民生服务、营商环境优化及基层社会治理等方面工作开展情况</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lang w:val="en-US" w:eastAsia="zh-CN"/>
        </w:rPr>
        <w:t>切实保障人民群众的知情权、参与权和监督权。</w:t>
      </w:r>
    </w:p>
    <w:p w14:paraId="44871D39">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outlineLvl w:val="9"/>
        <w:rPr>
          <w:rFonts w:hint="default" w:ascii="Times New Roman" w:hAnsi="Times New Roman" w:eastAsia="楷体_GB2312" w:cs="Times New Roman"/>
          <w:bCs/>
          <w:color w:val="auto"/>
          <w:sz w:val="32"/>
          <w:szCs w:val="32"/>
          <w:highlight w:val="none"/>
          <w:lang w:val="en-US" w:eastAsia="zh-CN"/>
        </w:rPr>
      </w:pPr>
      <w:r>
        <w:rPr>
          <w:rFonts w:hint="default" w:ascii="Times New Roman" w:hAnsi="Times New Roman" w:eastAsia="楷体_GB2312" w:cs="Times New Roman"/>
          <w:bCs/>
          <w:color w:val="auto"/>
          <w:sz w:val="32"/>
          <w:szCs w:val="32"/>
          <w:highlight w:val="none"/>
          <w:lang w:val="en-US" w:eastAsia="zh-CN"/>
        </w:rPr>
        <w:t>（五）其他需要报告事项</w:t>
      </w:r>
    </w:p>
    <w:p w14:paraId="2DF0EF97">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highlight w:val="none"/>
          <w:shd w:val="clear" w:color="auto" w:fill="FFFFFF"/>
          <w:lang w:val="en-US" w:eastAsia="zh-CN"/>
        </w:rPr>
      </w:pPr>
      <w:r>
        <w:rPr>
          <w:rFonts w:hint="default" w:ascii="Times New Roman" w:hAnsi="Times New Roman" w:eastAsia="仿宋_GB2312" w:cs="Times New Roman"/>
          <w:color w:val="auto"/>
          <w:sz w:val="32"/>
          <w:szCs w:val="32"/>
          <w:highlight w:val="none"/>
          <w:shd w:val="clear" w:color="auto" w:fill="FFFFFF"/>
          <w:lang w:eastAsia="zh-CN"/>
        </w:rPr>
        <w:t>本报告所列数据的统计时限自202</w:t>
      </w:r>
      <w:r>
        <w:rPr>
          <w:rFonts w:hint="default" w:ascii="Times New Roman" w:hAnsi="Times New Roman" w:eastAsia="仿宋_GB2312" w:cs="Times New Roman"/>
          <w:color w:val="auto"/>
          <w:sz w:val="32"/>
          <w:szCs w:val="32"/>
          <w:highlight w:val="none"/>
          <w:shd w:val="clear" w:color="auto" w:fill="FFFFFF"/>
          <w:lang w:val="en-US" w:eastAsia="zh-CN"/>
        </w:rPr>
        <w:t>5</w:t>
      </w:r>
      <w:r>
        <w:rPr>
          <w:rFonts w:hint="default" w:ascii="Times New Roman" w:hAnsi="Times New Roman" w:eastAsia="仿宋_GB2312" w:cs="Times New Roman"/>
          <w:color w:val="auto"/>
          <w:sz w:val="32"/>
          <w:szCs w:val="32"/>
          <w:highlight w:val="none"/>
          <w:shd w:val="clear" w:color="auto" w:fill="FFFFFF"/>
          <w:lang w:eastAsia="zh-CN"/>
        </w:rPr>
        <w:t>年1月1日</w:t>
      </w:r>
      <w:r>
        <w:rPr>
          <w:rFonts w:hint="default" w:ascii="Times New Roman" w:hAnsi="Times New Roman" w:eastAsia="仿宋_GB2312" w:cs="Times New Roman"/>
          <w:color w:val="auto"/>
          <w:sz w:val="32"/>
          <w:szCs w:val="32"/>
          <w:highlight w:val="none"/>
          <w:shd w:val="clear" w:color="auto" w:fill="FFFFFF"/>
          <w:lang w:val="en-US" w:eastAsia="zh-CN"/>
        </w:rPr>
        <w:t>起</w:t>
      </w:r>
      <w:r>
        <w:rPr>
          <w:rFonts w:hint="default" w:ascii="Times New Roman" w:hAnsi="Times New Roman" w:eastAsia="仿宋_GB2312" w:cs="Times New Roman"/>
          <w:color w:val="auto"/>
          <w:sz w:val="32"/>
          <w:szCs w:val="32"/>
          <w:highlight w:val="none"/>
          <w:shd w:val="clear" w:color="auto" w:fill="FFFFFF"/>
          <w:lang w:eastAsia="zh-CN"/>
        </w:rPr>
        <w:t>至202</w:t>
      </w:r>
      <w:r>
        <w:rPr>
          <w:rFonts w:hint="default" w:ascii="Times New Roman" w:hAnsi="Times New Roman" w:eastAsia="仿宋_GB2312" w:cs="Times New Roman"/>
          <w:color w:val="auto"/>
          <w:sz w:val="32"/>
          <w:szCs w:val="32"/>
          <w:highlight w:val="none"/>
          <w:shd w:val="clear" w:color="auto" w:fill="FFFFFF"/>
          <w:lang w:val="en-US" w:eastAsia="zh-CN"/>
        </w:rPr>
        <w:t>5</w:t>
      </w:r>
      <w:r>
        <w:rPr>
          <w:rFonts w:hint="default" w:ascii="Times New Roman" w:hAnsi="Times New Roman" w:eastAsia="仿宋_GB2312" w:cs="Times New Roman"/>
          <w:color w:val="auto"/>
          <w:sz w:val="32"/>
          <w:szCs w:val="32"/>
          <w:highlight w:val="none"/>
          <w:shd w:val="clear" w:color="auto" w:fill="FFFFFF"/>
          <w:lang w:eastAsia="zh-CN"/>
        </w:rPr>
        <w:t>年12月31日</w:t>
      </w:r>
      <w:r>
        <w:rPr>
          <w:rFonts w:hint="default" w:ascii="Times New Roman" w:hAnsi="Times New Roman" w:eastAsia="仿宋_GB2312" w:cs="Times New Roman"/>
          <w:color w:val="auto"/>
          <w:sz w:val="32"/>
          <w:szCs w:val="32"/>
          <w:highlight w:val="none"/>
          <w:shd w:val="clear" w:color="auto" w:fill="FFFFFF"/>
          <w:lang w:val="en-US" w:eastAsia="zh-CN"/>
        </w:rPr>
        <w:t>止</w:t>
      </w:r>
      <w:r>
        <w:rPr>
          <w:rFonts w:hint="default" w:ascii="Times New Roman" w:hAnsi="Times New Roman" w:eastAsia="仿宋_GB2312" w:cs="Times New Roman"/>
          <w:color w:val="auto"/>
          <w:sz w:val="32"/>
          <w:szCs w:val="32"/>
          <w:highlight w:val="none"/>
          <w:shd w:val="clear" w:color="auto" w:fill="FFFFFF"/>
          <w:lang w:eastAsia="zh-CN"/>
        </w:rPr>
        <w:t>。如对本报告有疑问，可与市中区矿区街道办事处联系（地址：</w:t>
      </w:r>
      <w:r>
        <w:rPr>
          <w:rFonts w:hint="default" w:ascii="Times New Roman" w:hAnsi="Times New Roman" w:eastAsia="仿宋_GB2312" w:cs="Times New Roman"/>
          <w:color w:val="auto"/>
          <w:sz w:val="32"/>
          <w:szCs w:val="32"/>
          <w:highlight w:val="none"/>
          <w:shd w:val="clear" w:color="auto" w:fill="FFFFFF"/>
          <w:lang w:val="en-US" w:eastAsia="zh-CN"/>
        </w:rPr>
        <w:t>枣庄市市中区解放北路1号</w:t>
      </w:r>
      <w:r>
        <w:rPr>
          <w:rFonts w:hint="default" w:ascii="Times New Roman" w:hAnsi="Times New Roman" w:eastAsia="仿宋_GB2312" w:cs="Times New Roman"/>
          <w:color w:val="auto"/>
          <w:sz w:val="32"/>
          <w:szCs w:val="32"/>
          <w:highlight w:val="none"/>
          <w:shd w:val="clear" w:color="auto" w:fill="FFFFFF"/>
          <w:lang w:eastAsia="zh-CN"/>
        </w:rPr>
        <w:t>，邮编：</w:t>
      </w:r>
      <w:r>
        <w:rPr>
          <w:rFonts w:hint="default" w:ascii="Times New Roman" w:hAnsi="Times New Roman" w:eastAsia="仿宋_GB2312" w:cs="Times New Roman"/>
          <w:color w:val="auto"/>
          <w:sz w:val="32"/>
          <w:szCs w:val="32"/>
          <w:highlight w:val="none"/>
          <w:shd w:val="clear" w:color="auto" w:fill="FFFFFF"/>
          <w:lang w:val="en-US" w:eastAsia="zh-CN"/>
        </w:rPr>
        <w:t>277100</w:t>
      </w:r>
      <w:r>
        <w:rPr>
          <w:rFonts w:hint="default" w:ascii="Times New Roman" w:hAnsi="Times New Roman" w:eastAsia="仿宋_GB2312" w:cs="Times New Roman"/>
          <w:color w:val="auto"/>
          <w:sz w:val="32"/>
          <w:szCs w:val="32"/>
          <w:highlight w:val="none"/>
          <w:shd w:val="clear" w:color="auto" w:fill="FFFFFF"/>
          <w:lang w:eastAsia="zh-CN"/>
        </w:rPr>
        <w:t>，电话：</w:t>
      </w:r>
      <w:r>
        <w:rPr>
          <w:rFonts w:hint="default" w:ascii="Times New Roman" w:hAnsi="Times New Roman" w:eastAsia="仿宋_GB2312" w:cs="Times New Roman"/>
          <w:color w:val="auto"/>
          <w:sz w:val="32"/>
          <w:szCs w:val="32"/>
          <w:highlight w:val="none"/>
          <w:shd w:val="clear" w:color="auto" w:fill="FFFFFF"/>
          <w:lang w:val="en-US" w:eastAsia="zh-CN"/>
        </w:rPr>
        <w:t>0632-8022900</w:t>
      </w:r>
      <w:r>
        <w:rPr>
          <w:rFonts w:hint="default"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i w:val="0"/>
          <w:caps w:val="0"/>
          <w:color w:val="auto"/>
          <w:spacing w:val="0"/>
          <w:kern w:val="0"/>
          <w:sz w:val="32"/>
          <w:szCs w:val="32"/>
          <w:highlight w:val="none"/>
          <w:shd w:val="clear" w:color="auto" w:fill="FFFFFF"/>
          <w:lang w:val="en-US" w:eastAsia="zh-CN" w:bidi="ar"/>
        </w:rPr>
        <w:t>电子邮箱：</w:t>
      </w:r>
      <w:r>
        <w:rPr>
          <w:rFonts w:hint="default" w:ascii="Times New Roman" w:hAnsi="Times New Roman" w:eastAsia="仿宋_GB2312" w:cs="Times New Roman"/>
          <w:color w:val="auto"/>
          <w:sz w:val="32"/>
          <w:szCs w:val="32"/>
          <w:highlight w:val="none"/>
          <w:shd w:val="clear" w:color="auto" w:fill="FFFFFF"/>
          <w:lang w:val="en-US" w:eastAsia="zh-CN"/>
        </w:rPr>
        <w:fldChar w:fldCharType="begin"/>
      </w:r>
      <w:r>
        <w:rPr>
          <w:rFonts w:hint="default" w:ascii="Times New Roman" w:hAnsi="Times New Roman" w:eastAsia="仿宋_GB2312" w:cs="Times New Roman"/>
          <w:color w:val="auto"/>
          <w:sz w:val="32"/>
          <w:szCs w:val="32"/>
          <w:highlight w:val="none"/>
          <w:shd w:val="clear" w:color="auto" w:fill="FFFFFF"/>
          <w:lang w:val="en-US" w:eastAsia="zh-CN"/>
        </w:rPr>
        <w:instrText xml:space="preserve"> HYPERLINK "mailto:htqzfzwgkk@wf.shandong.cn%E3%80%82" </w:instrText>
      </w:r>
      <w:r>
        <w:rPr>
          <w:rFonts w:hint="default" w:ascii="Times New Roman" w:hAnsi="Times New Roman" w:eastAsia="仿宋_GB2312" w:cs="Times New Roman"/>
          <w:color w:val="auto"/>
          <w:sz w:val="32"/>
          <w:szCs w:val="32"/>
          <w:highlight w:val="none"/>
          <w:shd w:val="clear" w:color="auto" w:fill="FFFFFF"/>
          <w:lang w:val="en-US" w:eastAsia="zh-CN"/>
        </w:rPr>
        <w:fldChar w:fldCharType="separate"/>
      </w:r>
      <w:r>
        <w:rPr>
          <w:rFonts w:hint="default" w:ascii="Times New Roman" w:hAnsi="Times New Roman" w:eastAsia="仿宋_GB2312" w:cs="Times New Roman"/>
          <w:color w:val="auto"/>
          <w:sz w:val="32"/>
          <w:szCs w:val="32"/>
          <w:highlight w:val="none"/>
          <w:shd w:val="clear" w:color="auto" w:fill="FFFFFF"/>
          <w:lang w:val="en-US" w:eastAsia="zh-CN"/>
        </w:rPr>
        <w:t>szqkqjdbscadmin</w:t>
      </w:r>
      <w:r>
        <w:rPr>
          <w:rFonts w:hint="default" w:ascii="Times New Roman" w:hAnsi="Times New Roman" w:eastAsia="仿宋_GB2312" w:cs="Times New Roman"/>
          <w:color w:val="auto"/>
          <w:sz w:val="32"/>
          <w:szCs w:val="32"/>
          <w:highlight w:val="none"/>
          <w:shd w:val="clear" w:color="auto" w:fill="FFFFFF"/>
          <w:lang w:eastAsia="zh-CN"/>
        </w:rPr>
        <w:t>@zz.shandong.cn</w:t>
      </w:r>
      <w:r>
        <w:rPr>
          <w:rFonts w:hint="default" w:ascii="Times New Roman" w:hAnsi="Times New Roman" w:eastAsia="仿宋_GB2312" w:cs="Times New Roman"/>
          <w:color w:val="auto"/>
          <w:sz w:val="32"/>
          <w:szCs w:val="32"/>
          <w:highlight w:val="none"/>
          <w:shd w:val="clear" w:color="auto" w:fill="FFFFFF"/>
          <w:lang w:val="en-US" w:eastAsia="zh-CN"/>
        </w:rPr>
        <w:fldChar w:fldCharType="end"/>
      </w:r>
      <w:r>
        <w:rPr>
          <w:rFonts w:hint="default" w:ascii="Times New Roman" w:hAnsi="Times New Roman" w:eastAsia="仿宋_GB2312" w:cs="Times New Roman"/>
          <w:color w:val="auto"/>
          <w:sz w:val="32"/>
          <w:szCs w:val="32"/>
          <w:highlight w:val="none"/>
          <w:shd w:val="clear" w:color="auto" w:fill="FFFFFF"/>
          <w:lang w:eastAsia="zh-CN"/>
        </w:rPr>
        <w:t>）。</w:t>
      </w:r>
    </w:p>
    <w:p w14:paraId="3376E5C8">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color w:val="auto"/>
          <w:sz w:val="32"/>
          <w:szCs w:val="32"/>
          <w:highlight w:val="none"/>
          <w:shd w:val="clear" w:color="auto" w:fill="FFFFFF"/>
          <w:lang w:val="en-US" w:eastAsia="zh-CN"/>
        </w:rPr>
      </w:pPr>
    </w:p>
    <w:p w14:paraId="30B85709">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color w:val="auto"/>
          <w:sz w:val="32"/>
          <w:szCs w:val="32"/>
          <w:highlight w:val="none"/>
          <w:shd w:val="clear" w:color="auto" w:fill="FFFFFF"/>
          <w:lang w:val="en-US" w:eastAsia="zh-CN"/>
        </w:rPr>
      </w:pPr>
    </w:p>
    <w:p w14:paraId="07F64DA4">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right"/>
        <w:textAlignment w:val="auto"/>
        <w:rPr>
          <w:rFonts w:hint="default" w:ascii="Times New Roman" w:hAnsi="Times New Roman" w:eastAsia="仿宋_GB2312" w:cs="Times New Roman"/>
          <w:color w:val="auto"/>
          <w:sz w:val="32"/>
          <w:szCs w:val="32"/>
          <w:highlight w:val="none"/>
          <w:shd w:val="clear" w:color="auto" w:fill="FFFFFF"/>
          <w:lang w:val="en-US" w:eastAsia="zh-CN"/>
        </w:rPr>
      </w:pPr>
      <w:r>
        <w:rPr>
          <w:rFonts w:hint="default" w:ascii="Times New Roman" w:hAnsi="Times New Roman" w:eastAsia="仿宋_GB2312" w:cs="Times New Roman"/>
          <w:color w:val="auto"/>
          <w:sz w:val="32"/>
          <w:szCs w:val="32"/>
          <w:highlight w:val="none"/>
          <w:shd w:val="clear" w:color="auto" w:fill="FFFFFF"/>
          <w:lang w:val="en-US" w:eastAsia="zh-CN"/>
        </w:rPr>
        <w:t>市中区矿区街道办事处</w:t>
      </w:r>
    </w:p>
    <w:p w14:paraId="3133E69E">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right"/>
        <w:textAlignment w:val="auto"/>
        <w:rPr>
          <w:rFonts w:hint="default" w:ascii="Times New Roman" w:hAnsi="Times New Roman" w:cs="Times New Roman" w:eastAsiaTheme="minorEastAsia"/>
          <w:color w:val="auto"/>
          <w:sz w:val="32"/>
          <w:szCs w:val="32"/>
          <w:lang w:eastAsia="zh-CN"/>
        </w:rPr>
      </w:pPr>
      <w:r>
        <w:rPr>
          <w:rFonts w:hint="default" w:ascii="Times New Roman" w:hAnsi="Times New Roman" w:eastAsia="仿宋_GB2312" w:cs="Times New Roman"/>
          <w:color w:val="auto"/>
          <w:sz w:val="32"/>
          <w:szCs w:val="32"/>
          <w:highlight w:val="none"/>
          <w:shd w:val="clear" w:color="auto" w:fill="FFFFFF"/>
          <w:lang w:val="en-US" w:eastAsia="zh-CN"/>
        </w:rPr>
        <w:t>2026年1月14日</w:t>
      </w:r>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C025C2D-6715-4217-9083-5CA203C57F5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616E8CFF-AF41-4191-B8B4-81202FAD1178}"/>
  </w:font>
  <w:font w:name="仿宋_GB2312">
    <w:panose1 w:val="02010609030101010101"/>
    <w:charset w:val="86"/>
    <w:family w:val="modern"/>
    <w:pitch w:val="default"/>
    <w:sig w:usb0="00000001" w:usb1="080E0000" w:usb2="00000000" w:usb3="00000000" w:csb0="00040000" w:csb1="00000000"/>
    <w:embedRegular r:id="rId3" w:fontKey="{CCEAB3F9-CF05-42A1-95E6-2B1BC998BD87}"/>
  </w:font>
  <w:font w:name="楷体_GB2312">
    <w:altName w:val="楷体"/>
    <w:panose1 w:val="02010609030101010101"/>
    <w:charset w:val="86"/>
    <w:family w:val="decorative"/>
    <w:pitch w:val="default"/>
    <w:sig w:usb0="00000000" w:usb1="00000000" w:usb2="00000000" w:usb3="00000000" w:csb0="00040000" w:csb1="00000000"/>
    <w:embedRegular r:id="rId4" w:fontKey="{74F50436-3561-4B90-BC16-3FA670EA8FDB}"/>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47AF9">
    <w:pPr>
      <w:spacing w:line="1" w:lineRule="exac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FF376DD">
                          <w:pPr>
                            <w:pStyle w:val="5"/>
                            <w:rPr>
                              <w:rFonts w:hint="eastAsia" w:eastAsia="宋体"/>
                              <w:lang w:eastAsia="zh-CN"/>
                            </w:rPr>
                          </w:pPr>
                          <w:r>
                            <w:rPr>
                              <w:rFonts w:hint="eastAsia" w:ascii="仿宋_GB2312" w:hAnsi="仿宋_GB2312" w:eastAsia="仿宋_GB2312" w:cs="仿宋_GB2312"/>
                              <w:sz w:val="32"/>
                              <w:szCs w:val="32"/>
                              <w:lang w:eastAsia="zh-CN"/>
                            </w:rPr>
                            <w:t>—</w:t>
                          </w:r>
                          <w:r>
                            <w:rPr>
                              <w:rFonts w:hint="eastAsia" w:eastAsia="宋体"/>
                              <w:sz w:val="32"/>
                              <w:szCs w:val="32"/>
                              <w:lang w:eastAsia="zh-CN"/>
                            </w:rPr>
                            <w:t xml:space="preserve"> </w:t>
                          </w:r>
                          <w:r>
                            <w:rPr>
                              <w:rFonts w:hint="eastAsia" w:eastAsia="宋体"/>
                              <w:sz w:val="32"/>
                              <w:szCs w:val="32"/>
                              <w:lang w:eastAsia="zh-CN"/>
                            </w:rPr>
                            <w:fldChar w:fldCharType="begin"/>
                          </w:r>
                          <w:r>
                            <w:rPr>
                              <w:rFonts w:hint="eastAsia" w:eastAsia="宋体"/>
                              <w:sz w:val="32"/>
                              <w:szCs w:val="32"/>
                              <w:lang w:eastAsia="zh-CN"/>
                            </w:rPr>
                            <w:instrText xml:space="preserve"> PAGE  \* MERGEFORMAT </w:instrText>
                          </w:r>
                          <w:r>
                            <w:rPr>
                              <w:rFonts w:hint="eastAsia" w:eastAsia="宋体"/>
                              <w:sz w:val="32"/>
                              <w:szCs w:val="32"/>
                              <w:lang w:eastAsia="zh-CN"/>
                            </w:rPr>
                            <w:fldChar w:fldCharType="separate"/>
                          </w:r>
                          <w:r>
                            <w:rPr>
                              <w:rFonts w:hint="eastAsia" w:eastAsia="宋体"/>
                              <w:sz w:val="32"/>
                              <w:szCs w:val="32"/>
                              <w:lang w:eastAsia="zh-CN"/>
                            </w:rPr>
                            <w:t>8</w:t>
                          </w:r>
                          <w:r>
                            <w:rPr>
                              <w:rFonts w:hint="eastAsia" w:eastAsia="宋体"/>
                              <w:sz w:val="32"/>
                              <w:szCs w:val="32"/>
                              <w:lang w:eastAsia="zh-CN"/>
                            </w:rPr>
                            <w:fldChar w:fldCharType="end"/>
                          </w:r>
                          <w:r>
                            <w:rPr>
                              <w:rFonts w:hint="eastAsia" w:eastAsia="宋体"/>
                              <w:sz w:val="32"/>
                              <w:szCs w:val="32"/>
                              <w:lang w:eastAsia="zh-CN"/>
                            </w:rP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InwhHuUBAADHAwAA&#10;DgAAAAAAAAABACAAAAAeAQAAZHJzL2Uyb0RvYy54bWxQSwUGAAAAAAYABgBZAQAAdQUAAAAA&#10;">
              <v:fill on="f" focussize="0,0"/>
              <v:stroke on="f"/>
              <v:imagedata o:title=""/>
              <o:lock v:ext="edit" aspectratio="f"/>
              <v:textbox inset="0mm,0mm,0mm,0mm" style="mso-fit-shape-to-text:t;">
                <w:txbxContent>
                  <w:p w14:paraId="0FF376DD">
                    <w:pPr>
                      <w:pStyle w:val="5"/>
                      <w:rPr>
                        <w:rFonts w:hint="eastAsia" w:eastAsia="宋体"/>
                        <w:lang w:eastAsia="zh-CN"/>
                      </w:rPr>
                    </w:pPr>
                    <w:r>
                      <w:rPr>
                        <w:rFonts w:hint="eastAsia" w:ascii="仿宋_GB2312" w:hAnsi="仿宋_GB2312" w:eastAsia="仿宋_GB2312" w:cs="仿宋_GB2312"/>
                        <w:sz w:val="32"/>
                        <w:szCs w:val="32"/>
                        <w:lang w:eastAsia="zh-CN"/>
                      </w:rPr>
                      <w:t>—</w:t>
                    </w:r>
                    <w:r>
                      <w:rPr>
                        <w:rFonts w:hint="eastAsia" w:eastAsia="宋体"/>
                        <w:sz w:val="32"/>
                        <w:szCs w:val="32"/>
                        <w:lang w:eastAsia="zh-CN"/>
                      </w:rPr>
                      <w:t xml:space="preserve"> </w:t>
                    </w:r>
                    <w:r>
                      <w:rPr>
                        <w:rFonts w:hint="eastAsia" w:eastAsia="宋体"/>
                        <w:sz w:val="32"/>
                        <w:szCs w:val="32"/>
                        <w:lang w:eastAsia="zh-CN"/>
                      </w:rPr>
                      <w:fldChar w:fldCharType="begin"/>
                    </w:r>
                    <w:r>
                      <w:rPr>
                        <w:rFonts w:hint="eastAsia" w:eastAsia="宋体"/>
                        <w:sz w:val="32"/>
                        <w:szCs w:val="32"/>
                        <w:lang w:eastAsia="zh-CN"/>
                      </w:rPr>
                      <w:instrText xml:space="preserve"> PAGE  \* MERGEFORMAT </w:instrText>
                    </w:r>
                    <w:r>
                      <w:rPr>
                        <w:rFonts w:hint="eastAsia" w:eastAsia="宋体"/>
                        <w:sz w:val="32"/>
                        <w:szCs w:val="32"/>
                        <w:lang w:eastAsia="zh-CN"/>
                      </w:rPr>
                      <w:fldChar w:fldCharType="separate"/>
                    </w:r>
                    <w:r>
                      <w:rPr>
                        <w:rFonts w:hint="eastAsia" w:eastAsia="宋体"/>
                        <w:sz w:val="32"/>
                        <w:szCs w:val="32"/>
                        <w:lang w:eastAsia="zh-CN"/>
                      </w:rPr>
                      <w:t>8</w:t>
                    </w:r>
                    <w:r>
                      <w:rPr>
                        <w:rFonts w:hint="eastAsia" w:eastAsia="宋体"/>
                        <w:sz w:val="32"/>
                        <w:szCs w:val="32"/>
                        <w:lang w:eastAsia="zh-CN"/>
                      </w:rPr>
                      <w:fldChar w:fldCharType="end"/>
                    </w:r>
                    <w:r>
                      <w:rPr>
                        <w:rFonts w:hint="eastAsia" w:eastAsia="宋体"/>
                        <w:sz w:val="32"/>
                        <w:szCs w:val="32"/>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48E86">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B69"/>
    <w:rsid w:val="00081823"/>
    <w:rsid w:val="00112B69"/>
    <w:rsid w:val="005A70FF"/>
    <w:rsid w:val="00B03096"/>
    <w:rsid w:val="00F0539A"/>
    <w:rsid w:val="021D046B"/>
    <w:rsid w:val="025E0CC2"/>
    <w:rsid w:val="081B5F9C"/>
    <w:rsid w:val="0A3E1141"/>
    <w:rsid w:val="0AF4678A"/>
    <w:rsid w:val="0B8F2AB2"/>
    <w:rsid w:val="0D426B65"/>
    <w:rsid w:val="0DB7343A"/>
    <w:rsid w:val="0E1D6D9B"/>
    <w:rsid w:val="101A475B"/>
    <w:rsid w:val="11B9374B"/>
    <w:rsid w:val="134906B3"/>
    <w:rsid w:val="17A121FC"/>
    <w:rsid w:val="1AAF71B2"/>
    <w:rsid w:val="1B9E7784"/>
    <w:rsid w:val="1D276D79"/>
    <w:rsid w:val="1DC53412"/>
    <w:rsid w:val="1FD24907"/>
    <w:rsid w:val="2007106B"/>
    <w:rsid w:val="20E26CC1"/>
    <w:rsid w:val="227F4F5F"/>
    <w:rsid w:val="241C3434"/>
    <w:rsid w:val="24B65C7B"/>
    <w:rsid w:val="27005623"/>
    <w:rsid w:val="271F6DB2"/>
    <w:rsid w:val="28BE4FD8"/>
    <w:rsid w:val="2A366FA5"/>
    <w:rsid w:val="2A6E4A40"/>
    <w:rsid w:val="2B247393"/>
    <w:rsid w:val="2B7E7F7A"/>
    <w:rsid w:val="2EB115E7"/>
    <w:rsid w:val="30597B2F"/>
    <w:rsid w:val="34C27E73"/>
    <w:rsid w:val="34C65277"/>
    <w:rsid w:val="36364CD2"/>
    <w:rsid w:val="3700753A"/>
    <w:rsid w:val="372B44B7"/>
    <w:rsid w:val="37DD4F2A"/>
    <w:rsid w:val="389B3742"/>
    <w:rsid w:val="3CA63654"/>
    <w:rsid w:val="40397AF0"/>
    <w:rsid w:val="40F6076B"/>
    <w:rsid w:val="40FC5355"/>
    <w:rsid w:val="411462D3"/>
    <w:rsid w:val="424E6C95"/>
    <w:rsid w:val="428D2EEF"/>
    <w:rsid w:val="42962A0C"/>
    <w:rsid w:val="43677CBB"/>
    <w:rsid w:val="440C3110"/>
    <w:rsid w:val="4A263FB9"/>
    <w:rsid w:val="4BE16E0F"/>
    <w:rsid w:val="4F1B009D"/>
    <w:rsid w:val="52D1732E"/>
    <w:rsid w:val="53FA4D89"/>
    <w:rsid w:val="5A891C07"/>
    <w:rsid w:val="5AE6494C"/>
    <w:rsid w:val="5DD92687"/>
    <w:rsid w:val="5EA95810"/>
    <w:rsid w:val="5F8D4488"/>
    <w:rsid w:val="61615D54"/>
    <w:rsid w:val="62A02DE5"/>
    <w:rsid w:val="62DF0CAC"/>
    <w:rsid w:val="62E224AD"/>
    <w:rsid w:val="64490C92"/>
    <w:rsid w:val="646A6A9F"/>
    <w:rsid w:val="67094914"/>
    <w:rsid w:val="67600C28"/>
    <w:rsid w:val="6DE2030D"/>
    <w:rsid w:val="6EC52406"/>
    <w:rsid w:val="70F76C5D"/>
    <w:rsid w:val="71742F46"/>
    <w:rsid w:val="72BB477E"/>
    <w:rsid w:val="743334DA"/>
    <w:rsid w:val="754C48A1"/>
    <w:rsid w:val="79390A27"/>
    <w:rsid w:val="7AEE725E"/>
    <w:rsid w:val="7AF714F2"/>
    <w:rsid w:val="7C1A63E7"/>
    <w:rsid w:val="7D726BF8"/>
    <w:rsid w:val="7F2B4A49"/>
    <w:rsid w:val="7F2D6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kern w:val="0"/>
      <w:sz w:val="24"/>
      <w:szCs w:val="24"/>
      <w:lang w:val="en-US" w:eastAsia="en-US" w:bidi="en-US"/>
    </w:rPr>
  </w:style>
  <w:style w:type="paragraph" w:styleId="2">
    <w:name w:val="heading 3"/>
    <w:basedOn w:val="1"/>
    <w:next w:val="1"/>
    <w:semiHidden/>
    <w:unhideWhenUsed/>
    <w:qFormat/>
    <w:uiPriority w:val="9"/>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3">
    <w:name w:val="heading 4"/>
    <w:basedOn w:val="1"/>
    <w:next w:val="1"/>
    <w:semiHidden/>
    <w:unhideWhenUsed/>
    <w:qFormat/>
    <w:uiPriority w:val="9"/>
    <w:pPr>
      <w:spacing w:before="0" w:beforeAutospacing="1" w:after="0" w:afterAutospacing="1"/>
      <w:jc w:val="left"/>
    </w:pPr>
    <w:rPr>
      <w:rFonts w:hint="eastAsia" w:ascii="宋体" w:hAnsi="宋体" w:eastAsia="宋体" w:cs="宋体"/>
      <w:b/>
      <w:kern w:val="0"/>
      <w:sz w:val="24"/>
      <w:szCs w:val="24"/>
      <w:lang w:val="en-US" w:eastAsia="zh-CN" w:bidi="ar"/>
    </w:rPr>
  </w:style>
  <w:style w:type="paragraph" w:styleId="4">
    <w:name w:val="heading 5"/>
    <w:basedOn w:val="1"/>
    <w:next w:val="1"/>
    <w:semiHidden/>
    <w:unhideWhenUsed/>
    <w:qFormat/>
    <w:uiPriority w:val="9"/>
    <w:pPr>
      <w:spacing w:before="0" w:beforeAutospacing="1" w:after="0" w:afterAutospacing="1"/>
      <w:jc w:val="left"/>
    </w:pPr>
    <w:rPr>
      <w:rFonts w:hint="eastAsia" w:ascii="宋体" w:hAnsi="宋体" w:eastAsia="宋体" w:cs="宋体"/>
      <w:b/>
      <w:kern w:val="0"/>
      <w:sz w:val="20"/>
      <w:szCs w:val="20"/>
      <w:lang w:val="en-US" w:eastAsia="zh-CN" w:bidi="ar"/>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footer"/>
    <w:basedOn w:val="1"/>
    <w:semiHidden/>
    <w:unhideWhenUsed/>
    <w:qFormat/>
    <w:uiPriority w:val="99"/>
    <w:pPr>
      <w:tabs>
        <w:tab w:val="center" w:pos="4153"/>
        <w:tab w:val="right" w:pos="8306"/>
      </w:tabs>
      <w:snapToGrid w:val="0"/>
      <w:jc w:val="left"/>
    </w:pPr>
    <w:rPr>
      <w:sz w:val="18"/>
    </w:rPr>
  </w:style>
  <w:style w:type="paragraph" w:styleId="6">
    <w:name w:val="Normal (Web)"/>
    <w:basedOn w:val="1"/>
    <w:unhideWhenUsed/>
    <w:qFormat/>
    <w:uiPriority w:val="99"/>
    <w:pPr>
      <w:widowControl/>
      <w:spacing w:before="100" w:beforeAutospacing="1" w:after="100" w:afterAutospacing="1"/>
    </w:pPr>
    <w:rPr>
      <w:rFonts w:ascii="宋体" w:hAnsi="宋体" w:cs="宋体"/>
    </w:rPr>
  </w:style>
  <w:style w:type="character" w:styleId="9">
    <w:name w:val="Strong"/>
    <w:basedOn w:val="8"/>
    <w:qFormat/>
    <w:uiPriority w:val="22"/>
    <w:rPr>
      <w:b/>
    </w:rPr>
  </w:style>
  <w:style w:type="character" w:styleId="10">
    <w:name w:val="Hyperlink"/>
    <w:basedOn w:val="8"/>
    <w:semiHidden/>
    <w:unhideWhenUsed/>
    <w:qFormat/>
    <w:uiPriority w:val="99"/>
    <w:rPr>
      <w:color w:val="0000FF"/>
      <w:u w:val="single"/>
    </w:rPr>
  </w:style>
  <w:style w:type="paragraph" w:customStyle="1" w:styleId="11">
    <w:name w:val="Header or footer|1"/>
    <w:basedOn w:val="1"/>
    <w:qFormat/>
    <w:uiPriority w:val="0"/>
    <w:rPr>
      <w:sz w:val="26"/>
      <w:szCs w:val="26"/>
      <w:lang w:val="zh-TW" w:eastAsia="zh-TW" w:bidi="zh-TW"/>
    </w:rPr>
  </w:style>
  <w:style w:type="paragraph" w:customStyle="1" w:styleId="12">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13">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4">
    <w:name w:val="Other|1"/>
    <w:basedOn w:val="1"/>
    <w:qFormat/>
    <w:uiPriority w:val="0"/>
    <w:pPr>
      <w:spacing w:line="44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c6f0abbe-f1a4-4ebc-bd32-ba4ad4c6b0ae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C2DE578</paraID>
      <start>18</start>
      <end>21</end>
      <status>unmodified</status>
      <modifiedWord/>
      <trackRevisions>false</trackRevisions>
    </reviewItem>
    <reviewItem>
      <errorID>1758bd72-cc87-485d-aa7c-9f2de23356d9</errorID>
      <errorWord>《</errorWord>
      <group>L1_Punc</group>
      <groupName>标点问题</groupName>
      <ability>L2_Punc</ability>
      <abilityName>标点符号检查</abilityName>
      <candidateList/>
      <explain>同一形式括号套用。</explain>
      <paraID> C2DE578</paraID>
      <start>43</start>
      <end>44</end>
      <status>unmodified</status>
      <modifiedWord/>
      <trackRevisions>false</trackRevisions>
    </reviewItem>
    <reviewItem>
      <errorID>4f7c2ba4-0bd1-4adb-a6bb-4a2ab4658dff</errorID>
      <errorWord>》</errorWord>
      <group>L1_Punc</group>
      <groupName>标点问题</groupName>
      <ability>L2_Punc</ability>
      <abilityName>标点符号检查</abilityName>
      <candidateList/>
      <explain>同一形式括号套用。</explain>
      <paraID> C2DE578</paraID>
      <start>65</start>
      <end>66</end>
      <status>unmodified</status>
      <modifiedWord/>
      <trackRevisions>false</trackRevisions>
    </reviewItem>
    <reviewItem>
      <errorID>369617e6-2747-4f52-b818-b835132024ea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54948B86</paraID>
      <start>15</start>
      <end>18</end>
      <status>unmodified</status>
      <modifiedWord/>
      <trackRevisions>false</trackRevisions>
    </reviewItem>
    <reviewItem>
      <errorID>e59b7660-a5a3-4fdd-9fdb-c2382ce0a1dc</errorID>
      <errorWord>处理</errorWord>
      <group>L1_Word</group>
      <groupName>字词问题</groupName>
      <ability>L2_Typo</ability>
      <abilityName>字词错误</abilityName>
      <candidateList>
        <item>受理</item>
      </candidateList>
      <explain/>
      <paraID>1D7F7E76</paraID>
      <start>22</start>
      <end>24</end>
      <status>unmodified</status>
      <modifiedWord/>
      <trackRevisions>false</trackRevisions>
    </reviewItem>
    <reviewItem>
      <errorID>b875194e-f459-4c67-b5d0-cf09b241479a</errorID>
      <errorWord>处理</errorWord>
      <group>L1_Word</group>
      <groupName>字词问题</groupName>
      <ability>L2_Typo</ability>
      <abilityName>字词错误</abilityName>
      <candidateList>
        <item>受理</item>
      </candidateList>
      <explain/>
      <paraID>23259C79</paraID>
      <start>26</start>
      <end>28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96a837-8361-4314-9ee5-1ecc6ef4185d}">
  <ds:schemaRefs/>
</ds:datastoreItem>
</file>

<file path=docProps/app.xml><?xml version="1.0" encoding="utf-8"?>
<Properties xmlns="http://schemas.openxmlformats.org/officeDocument/2006/extended-properties" xmlns:vt="http://schemas.openxmlformats.org/officeDocument/2006/docPropsVTypes">
  <Template>Normal</Template>
  <Pages>8</Pages>
  <Words>1915</Words>
  <Characters>2027</Characters>
  <Lines>53</Lines>
  <Paragraphs>15</Paragraphs>
  <TotalTime>3</TotalTime>
  <ScaleCrop>false</ScaleCrop>
  <LinksUpToDate>false</LinksUpToDate>
  <CharactersWithSpaces>2027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2021-11-02T01:59:00Z</dcterms:created>
  <dc:creator>p</dc:creator>
  <cp:lastModifiedBy>WPS_1696590446</cp:lastModifiedBy>
  <cp:lastPrinted>2021-11-02T02:00:00Z</cp:lastPrinted>
  <dcterms:modified xsi:type="dcterms:W3CDTF">2026-01-20T08:58:11Z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eyJoZGlkIjoiNDkzYTZlMjY4MTAyODBkNmE2OTFiNzgyMTI3OTE1ZjYiLCJ1c2VySWQiOiIxNTQ4MDkzMDc1In0=</vt:lpwstr>
  </property>
  <property fmtid="{D5CDD505-2E9C-101B-9397-08002B2CF9AE}" pid="4" name="ICV">
    <vt:lpwstr>6D80E73484E342859786FB57898CD909_13</vt:lpwstr>
  </property>
</Properties>
</file>