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0C6E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市场监督管理局</w:t>
      </w:r>
    </w:p>
    <w:p w14:paraId="2A0914F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w:t>
      </w:r>
      <w:r>
        <w:rPr>
          <w:rFonts w:hint="eastAsia" w:ascii="Times New Roman" w:hAnsi="Times New Roman" w:eastAsia="仿宋_GB2312" w:cs="Times New Roman"/>
          <w:color w:val="auto"/>
          <w:sz w:val="32"/>
          <w:szCs w:val="32"/>
          <w:shd w:val="clear" w:color="auto" w:fill="FFFFFF"/>
          <w:lang w:val="en-US" w:eastAsia="zh-CN"/>
        </w:rPr>
        <w:t>市场监督管理局</w:t>
      </w:r>
      <w:r>
        <w:rPr>
          <w:rFonts w:hint="default" w:ascii="Times New Roman" w:hAnsi="Times New Roman" w:eastAsia="仿宋_GB2312" w:cs="Times New Roman"/>
          <w:color w:val="auto"/>
          <w:sz w:val="32"/>
          <w:szCs w:val="32"/>
          <w:shd w:val="clear" w:color="auto" w:fill="FFFFFF"/>
          <w:lang w:eastAsia="zh-CN"/>
        </w:rPr>
        <w:t>联系（</w:t>
      </w:r>
      <w:r>
        <w:rPr>
          <w:rFonts w:hint="eastAsia" w:eastAsia="仿宋_GB2312"/>
          <w:color w:val="auto"/>
          <w:sz w:val="32"/>
          <w:szCs w:val="32"/>
          <w:shd w:val="clear" w:color="auto" w:fill="FFFFFF"/>
          <w:lang w:val="en-US" w:eastAsia="zh-CN"/>
        </w:rPr>
        <w:t>枣庄市市中区建华西路100号</w:t>
      </w:r>
      <w:r>
        <w:rPr>
          <w:rFonts w:hint="eastAsia"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hint="eastAsia"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0632-3398008</w:t>
      </w:r>
      <w:r>
        <w:rPr>
          <w:rFonts w:hint="eastAsia" w:eastAsia="仿宋_GB2312"/>
          <w:color w:val="auto"/>
          <w:sz w:val="32"/>
          <w:szCs w:val="32"/>
          <w:shd w:val="clear" w:color="auto" w:fill="FFFFFF"/>
          <w:lang w:eastAsia="zh-CN"/>
        </w:rPr>
        <w:t>，</w:t>
      </w:r>
      <w:r>
        <w:rPr>
          <w:rFonts w:hint="default" w:eastAsia="仿宋_GB2312"/>
          <w:color w:val="auto"/>
          <w:sz w:val="32"/>
          <w:szCs w:val="32"/>
          <w:shd w:val="clear" w:color="auto" w:fill="FFFFFF"/>
          <w:lang w:val="en-US" w:eastAsia="zh-CN"/>
        </w:rPr>
        <w:t>电子邮箱：</w:t>
      </w:r>
      <w:r>
        <w:rPr>
          <w:rFonts w:hint="eastAsia" w:eastAsia="仿宋_GB2312"/>
          <w:color w:val="auto"/>
          <w:sz w:val="32"/>
          <w:szCs w:val="32"/>
          <w:shd w:val="clear" w:color="auto" w:fill="FFFFFF"/>
          <w:lang w:val="en-US" w:eastAsia="zh-CN"/>
        </w:rPr>
        <w:t>zzszqyzcj@163.com</w:t>
      </w:r>
      <w:r>
        <w:rPr>
          <w:rFonts w:hint="default" w:ascii="Times New Roman" w:hAnsi="Times New Roman" w:eastAsia="仿宋_GB2312" w:cs="Times New Roman"/>
          <w:color w:val="auto"/>
          <w:sz w:val="32"/>
          <w:szCs w:val="32"/>
          <w:shd w:val="clear" w:color="auto" w:fill="FFFFFF"/>
          <w:lang w:eastAsia="zh-CN"/>
        </w:rPr>
        <w:t>） 。</w:t>
      </w:r>
    </w:p>
    <w:p w14:paraId="7EDAF688">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12144E9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2025年，市中区市场监督管理局认真贯彻落实《中华人民共和国政府信息公开条例》，着力健全完善信息公开工作体系，强化信息公开载体建设，结合我局工作实际，进一步健全组织机构，完善信息公开机制，强化各项工作措施，调整优化公开目录，深入拓展公开渠道，持续丰富公开形式，及时回应社会关切，在扩大公众知情权、满足公众信息需求方面取得了积极成效。</w:t>
      </w:r>
    </w:p>
    <w:p w14:paraId="00D1C075">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5D256534">
      <w:pPr>
        <w:pStyle w:val="3"/>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2025年，我局主动公开信息452条，其中在政府门户网站公开123条，政务新媒体公开303条，其他渠道公开26条。</w:t>
      </w:r>
    </w:p>
    <w:p w14:paraId="594374F3">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49FD8C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做好依申请公开工作，依法保障民众的知情权、参与权、表达权、监督权。2025年共受理政府信息公开申请</w:t>
      </w:r>
      <w:r>
        <w:rPr>
          <w:rFonts w:hint="eastAsia" w:eastAsia="仿宋_GB2312" w:cs="Times New Roman"/>
          <w:color w:val="auto"/>
          <w:kern w:val="0"/>
          <w:sz w:val="32"/>
          <w:szCs w:val="32"/>
          <w:shd w:val="clear" w:color="auto" w:fill="FFFFFF"/>
          <w:lang w:val="en-US" w:eastAsia="zh-CN" w:bidi="en-US"/>
        </w:rPr>
        <w:t>12</w:t>
      </w:r>
      <w:r>
        <w:rPr>
          <w:rFonts w:hint="eastAsia" w:ascii="Times New Roman" w:hAnsi="Times New Roman" w:eastAsia="仿宋_GB2312" w:cs="Times New Roman"/>
          <w:color w:val="auto"/>
          <w:kern w:val="0"/>
          <w:sz w:val="32"/>
          <w:szCs w:val="32"/>
          <w:shd w:val="clear" w:color="auto" w:fill="FFFFFF"/>
          <w:lang w:val="en-US" w:eastAsia="zh-CN" w:bidi="en-US"/>
        </w:rPr>
        <w:t>件，涉及行政处罚，市场主体领域。其中予以公开申请</w:t>
      </w:r>
      <w:r>
        <w:rPr>
          <w:rFonts w:hint="eastAsia" w:eastAsia="仿宋_GB2312" w:cs="Times New Roman"/>
          <w:color w:val="auto"/>
          <w:kern w:val="0"/>
          <w:sz w:val="32"/>
          <w:szCs w:val="32"/>
          <w:shd w:val="clear" w:color="auto" w:fill="FFFFFF"/>
          <w:lang w:val="en-US" w:eastAsia="zh-CN" w:bidi="en-US"/>
        </w:rPr>
        <w:t>12</w:t>
      </w:r>
      <w:r>
        <w:rPr>
          <w:rFonts w:hint="eastAsia" w:ascii="Times New Roman" w:hAnsi="Times New Roman" w:eastAsia="仿宋_GB2312" w:cs="Times New Roman"/>
          <w:color w:val="auto"/>
          <w:kern w:val="0"/>
          <w:sz w:val="32"/>
          <w:szCs w:val="32"/>
          <w:shd w:val="clear" w:color="auto" w:fill="FFFFFF"/>
          <w:lang w:val="en-US" w:eastAsia="zh-CN" w:bidi="en-US"/>
        </w:rPr>
        <w:t>件，</w:t>
      </w:r>
      <w:r>
        <w:rPr>
          <w:rFonts w:hint="eastAsia" w:eastAsia="仿宋_GB2312" w:cs="Times New Roman"/>
          <w:color w:val="auto"/>
          <w:kern w:val="0"/>
          <w:sz w:val="32"/>
          <w:szCs w:val="32"/>
          <w:shd w:val="clear" w:color="auto" w:fill="FFFFFF"/>
          <w:lang w:val="en-US" w:eastAsia="zh-CN" w:bidi="en-US"/>
        </w:rPr>
        <w:t>无</w:t>
      </w:r>
      <w:r>
        <w:rPr>
          <w:rFonts w:hint="eastAsia" w:ascii="Times New Roman" w:hAnsi="Times New Roman" w:eastAsia="仿宋_GB2312" w:cs="Times New Roman"/>
          <w:color w:val="auto"/>
          <w:kern w:val="0"/>
          <w:sz w:val="32"/>
          <w:szCs w:val="32"/>
          <w:shd w:val="clear" w:color="auto" w:fill="FFFFFF"/>
          <w:lang w:val="en-US" w:eastAsia="zh-CN" w:bidi="en-US"/>
        </w:rPr>
        <w:t>不予公开件，均在法定期限内予以答复。</w:t>
      </w:r>
    </w:p>
    <w:p w14:paraId="67122E6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14:paraId="24C553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全年无因公民、法人和其他组织认为行政机关政府信息公开工作具体行政行为侵犯其合法权益，提起行政诉讼事件。</w:t>
      </w:r>
    </w:p>
    <w:p w14:paraId="0BC172BC">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9A95F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一是完善信息公开管理流程。建立政府信息公开工作全流程管理机制，安排专人负责信息公开传送和平台管理。</w:t>
      </w:r>
    </w:p>
    <w:p w14:paraId="274694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27A9A90">
      <w:pPr>
        <w:keepNext w:val="0"/>
        <w:keepLines w:val="0"/>
        <w:pageBreakBefore w:val="0"/>
        <w:widowControl/>
        <w:shd w:val="clear"/>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依托“枣庄市市中区人民政府网站”“政府信息公开专栏”政务新媒体“市中市场监管微信公众号”等平台发布信息，推动政务公开信息向不同群体精准推送，提升群众获取政府信息的便利度和幸福感。　　</w:t>
      </w:r>
    </w:p>
    <w:p w14:paraId="2CA3D9A7">
      <w:pPr>
        <w:keepNext w:val="0"/>
        <w:keepLines w:val="0"/>
        <w:pageBreakBefore w:val="0"/>
        <w:widowControl/>
        <w:shd w:val="clear"/>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14774D4F">
      <w:pPr>
        <w:pStyle w:val="7"/>
        <w:keepNext w:val="0"/>
        <w:keepLines w:val="0"/>
        <w:pageBreakBefore w:val="0"/>
        <w:shd w:val="clea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auto"/>
          <w:kern w:val="0"/>
          <w:sz w:val="32"/>
          <w:szCs w:val="32"/>
          <w:shd w:val="clear" w:color="auto" w:fill="FFFFFF"/>
          <w:lang w:val="en-US" w:eastAsia="zh-CN" w:bidi="en-US"/>
        </w:rPr>
      </w:pPr>
      <w:bookmarkStart w:id="9" w:name="_GoBack"/>
      <w:r>
        <w:rPr>
          <w:rFonts w:hint="default" w:ascii="Times New Roman" w:hAnsi="Times New Roman" w:eastAsia="仿宋_GB2312" w:cs="Times New Roman"/>
          <w:color w:val="auto"/>
          <w:kern w:val="0"/>
          <w:sz w:val="32"/>
          <w:szCs w:val="32"/>
          <w:shd w:val="clear" w:color="auto" w:fill="FFFFFF"/>
          <w:lang w:val="en-US" w:eastAsia="zh-CN" w:bidi="en-US"/>
        </w:rPr>
        <w:t>为加强对政务公开工作的组织领导，区市场监管局调整了政务公开工作领导小组，党组成员、副局长</w:t>
      </w:r>
      <w:r>
        <w:rPr>
          <w:rFonts w:hint="eastAsia" w:ascii="Times New Roman" w:hAnsi="Times New Roman" w:eastAsia="仿宋_GB2312" w:cs="Times New Roman"/>
          <w:color w:val="auto"/>
          <w:kern w:val="0"/>
          <w:sz w:val="32"/>
          <w:szCs w:val="32"/>
          <w:shd w:val="clear" w:color="auto" w:fill="FFFFFF"/>
          <w:lang w:val="en-US" w:eastAsia="zh-CN" w:bidi="en-US"/>
        </w:rPr>
        <w:t>孙雷</w:t>
      </w:r>
      <w:r>
        <w:rPr>
          <w:rFonts w:hint="default" w:ascii="Times New Roman" w:hAnsi="Times New Roman" w:eastAsia="仿宋_GB2312" w:cs="Times New Roman"/>
          <w:color w:val="auto"/>
          <w:kern w:val="0"/>
          <w:sz w:val="32"/>
          <w:szCs w:val="32"/>
          <w:shd w:val="clear" w:color="auto" w:fill="FFFFFF"/>
          <w:lang w:val="en-US" w:eastAsia="zh-CN" w:bidi="en-US"/>
        </w:rPr>
        <w:t>任领导小组组长，四级主办靳家勇任副组长，政研室、注册登记指导室、法制室、办公室等相关科室主要负责人为成员，负责统一领导、组织、协调、考核全局政务公开工作。</w:t>
      </w:r>
    </w:p>
    <w:bookmarkEnd w:id="9"/>
    <w:p w14:paraId="6B437EDB">
      <w:pPr>
        <w:pStyle w:val="7"/>
        <w:keepNext w:val="0"/>
        <w:keepLines w:val="0"/>
        <w:pageBreakBefore w:val="0"/>
        <w:shd w:val="clea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238</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5</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732BF267">
      <w:pPr>
        <w:pStyle w:val="7"/>
        <w:keepNext w:val="0"/>
        <w:keepLines w:val="0"/>
        <w:pageBreakBefore w:val="0"/>
        <w:shd w:val="clear"/>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12</w:t>
            </w:r>
          </w:p>
        </w:tc>
        <w:tc>
          <w:tcPr>
            <w:tcW w:w="690" w:type="dxa"/>
            <w:shd w:val="clear" w:color="auto" w:fill="auto"/>
            <w:tcMar>
              <w:left w:w="108" w:type="dxa"/>
              <w:right w:w="108" w:type="dxa"/>
            </w:tcMar>
            <w:vAlign w:val="center"/>
          </w:tcPr>
          <w:p w14:paraId="7EA571E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12</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12</w:t>
            </w:r>
          </w:p>
        </w:tc>
        <w:tc>
          <w:tcPr>
            <w:tcW w:w="690" w:type="dxa"/>
            <w:shd w:val="clear" w:color="auto" w:fill="auto"/>
            <w:tcMar>
              <w:left w:w="108" w:type="dxa"/>
              <w:right w:w="108" w:type="dxa"/>
            </w:tcMar>
            <w:vAlign w:val="center"/>
          </w:tcPr>
          <w:p w14:paraId="5A4E9E0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12</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232FB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12</w:t>
            </w:r>
          </w:p>
        </w:tc>
        <w:tc>
          <w:tcPr>
            <w:tcW w:w="690" w:type="dxa"/>
            <w:shd w:val="clear" w:color="auto" w:fill="auto"/>
            <w:tcMar>
              <w:left w:w="108" w:type="dxa"/>
              <w:right w:w="108" w:type="dxa"/>
            </w:tcMar>
            <w:vAlign w:val="center"/>
          </w:tcPr>
          <w:p w14:paraId="62A1C34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12</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shd w:val="clear"/>
              <w:kinsoku/>
              <w:wordWrap/>
              <w:overflowPunct/>
              <w:topLinePunct w:val="0"/>
              <w:autoSpaceDE/>
              <w:autoSpaceDN/>
              <w:bidi w:val="0"/>
              <w:adjustRightInd/>
              <w:snapToGrid w:val="0"/>
              <w:spacing w:before="37" w:beforeLines="10" w:after="37" w:afterLines="1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bl>
    <w:p w14:paraId="0FE229F5">
      <w:pPr>
        <w:keepNext w:val="0"/>
        <w:keepLines w:val="0"/>
        <w:pageBreakBefore w:val="0"/>
        <w:shd w:val="clear"/>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auto"/>
          <w:lang w:eastAsia="zh-CN"/>
        </w:rPr>
        <w:sectPr>
          <w:headerReference r:id="rId3" w:type="default"/>
          <w:footerReference r:id="rId5" w:type="default"/>
          <w:headerReference r:id="rId4" w:type="even"/>
          <w:footerReference r:id="rId6" w:type="even"/>
          <w:pgSz w:w="11900" w:h="16840"/>
          <w:pgMar w:top="1644" w:right="1644" w:bottom="1644" w:left="1644" w:header="1417" w:footer="1417" w:gutter="0"/>
          <w:pgBorders>
            <w:top w:val="none" w:sz="0" w:space="0"/>
            <w:left w:val="none" w:sz="0" w:space="0"/>
            <w:bottom w:val="none" w:sz="0" w:space="0"/>
            <w:right w:val="none" w:sz="0" w:space="0"/>
          </w:pgBorders>
          <w:pgNumType w:fmt="decimal" w:start="8"/>
          <w:cols w:space="720" w:num="1"/>
          <w:docGrid w:linePitch="360" w:charSpace="0"/>
        </w:sectPr>
      </w:pPr>
    </w:p>
    <w:p w14:paraId="45920097">
      <w:pPr>
        <w:pStyle w:val="7"/>
        <w:keepNext w:val="0"/>
        <w:keepLines w:val="0"/>
        <w:pageBreakBefore w:val="0"/>
        <w:shd w:val="clea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8"/>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518B3B70">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118C17D5">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1852F7C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一是建立常态化对标学习与横向交流机制，变“闭门造车”为“博采众长”。通过系统研究区内其他优秀部门的公开目录、解读形式、平台应用和制度建设经验，精准定位自身短板，学习借鉴其他地区市场监管部门的先进做法，为本局的目录优化提供了科学依据。</w:t>
      </w:r>
    </w:p>
    <w:p w14:paraId="349B37D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二是推动信息公开从“被动答题”向“主动引领”，从“浅尝辄止”向“深度赋能”的跨越式发展。在提升“主动性”上，实现从“申请驱动”到“需求导向”的转变。拓宽主动公开的渠道矩阵，在巩固市中区人民政府门户网站这一主阵地的基础上，积极拓展政务新媒体渠道。利用微信公众号等平台，将信息“推送”到用户指尖，变“人找信息”为“信息找人”。通过这些即时性、互动性更强的平台，发布消费预警、科普知识、办事指南等民生服务信息，极大提升了信息触达率和时效性。</w:t>
      </w:r>
    </w:p>
    <w:p w14:paraId="3DA74F35">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三是构建坚实的组织和制度保障体系。多措并举，打造高素质的政务公开工作队伍。明确领导与工作机构，压实责任链条。</w:t>
      </w:r>
      <w:r>
        <w:rPr>
          <w:rFonts w:hint="default" w:ascii="Times New Roman" w:hAnsi="Times New Roman" w:eastAsia="仿宋_GB2312" w:cs="Times New Roman"/>
          <w:color w:val="auto"/>
          <w:kern w:val="0"/>
          <w:sz w:val="32"/>
          <w:szCs w:val="32"/>
          <w:shd w:val="clear" w:color="auto" w:fill="FFFFFF"/>
          <w:lang w:val="en-US" w:eastAsia="zh-CN" w:bidi="en-US"/>
        </w:rPr>
        <w:t>调整了政务公开工作领导小组，</w:t>
      </w:r>
      <w:r>
        <w:rPr>
          <w:rFonts w:hint="eastAsia" w:ascii="Times New Roman" w:hAnsi="Times New Roman" w:eastAsia="仿宋_GB2312" w:cs="Times New Roman"/>
          <w:b w:val="0"/>
          <w:bCs w:val="0"/>
          <w:color w:val="auto"/>
          <w:kern w:val="2"/>
          <w:sz w:val="32"/>
          <w:szCs w:val="32"/>
          <w:lang w:val="en-US" w:eastAsia="zh-CN" w:bidi="ar-SA"/>
        </w:rPr>
        <w:t>领导小组定期召开会议，研究解决工作中的重大问题。同时，明确</w:t>
      </w:r>
      <w:r>
        <w:rPr>
          <w:rFonts w:hint="default" w:ascii="Times New Roman" w:hAnsi="Times New Roman" w:eastAsia="仿宋_GB2312" w:cs="Times New Roman"/>
          <w:color w:val="auto"/>
          <w:kern w:val="0"/>
          <w:sz w:val="32"/>
          <w:szCs w:val="32"/>
          <w:shd w:val="clear" w:color="auto" w:fill="FFFFFF"/>
          <w:lang w:val="en-US" w:eastAsia="zh-CN" w:bidi="en-US"/>
        </w:rPr>
        <w:t>注册登记指导室</w:t>
      </w:r>
      <w:r>
        <w:rPr>
          <w:rFonts w:hint="eastAsia" w:ascii="Times New Roman" w:hAnsi="Times New Roman" w:eastAsia="仿宋_GB2312" w:cs="Times New Roman"/>
          <w:b w:val="0"/>
          <w:bCs w:val="0"/>
          <w:color w:val="auto"/>
          <w:kern w:val="2"/>
          <w:sz w:val="32"/>
          <w:szCs w:val="32"/>
          <w:lang w:val="en-US" w:eastAsia="zh-CN" w:bidi="ar-SA"/>
        </w:rPr>
        <w:t>为牵头科室，并为每个业务科室指定一名信息公开联络员，形成了“领导小组统一领导、办公室牵头协调、业务科室分工负责、全局上下齐抓共管”的“四梁八柱”式组织架构，确保了事事有人管、件件有着落。</w:t>
      </w:r>
    </w:p>
    <w:p w14:paraId="7625FC20">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1BD9738D">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default" w:ascii="Times New Roman" w:hAnsi="Times New Roman" w:eastAsia="仿宋" w:cs="Times New Roman"/>
          <w:sz w:val="32"/>
          <w:szCs w:val="32"/>
          <w:lang w:val="en-US" w:eastAsia="zh-CN"/>
        </w:rPr>
        <w:t>202</w:t>
      </w:r>
      <w:r>
        <w:rPr>
          <w:rFonts w:hint="eastAsia" w:eastAsia="仿宋" w:cs="Times New Roman"/>
          <w:sz w:val="32"/>
          <w:szCs w:val="32"/>
          <w:lang w:val="en-US" w:eastAsia="zh-CN"/>
        </w:rPr>
        <w:t>5</w:t>
      </w:r>
      <w:r>
        <w:rPr>
          <w:rFonts w:hint="eastAsia" w:ascii="宋体" w:hAnsi="宋体" w:eastAsia="仿宋_GB2312" w:cs="宋体"/>
          <w:color w:val="auto"/>
          <w:kern w:val="0"/>
          <w:sz w:val="32"/>
          <w:szCs w:val="32"/>
          <w:shd w:val="clear" w:color="auto" w:fill="FFFFFF"/>
          <w:lang w:val="en-US" w:eastAsia="zh-CN" w:bidi="en-US"/>
        </w:rPr>
        <w:t>年，我局政府信息公开工作虽然取得了一定的成绩，但也存在一些问题，主要表现在：</w:t>
      </w:r>
      <w:r>
        <w:rPr>
          <w:rFonts w:hint="default" w:ascii="宋体" w:hAnsi="宋体" w:eastAsia="仿宋_GB2312" w:cs="宋体"/>
          <w:color w:val="auto"/>
          <w:kern w:val="0"/>
          <w:sz w:val="32"/>
          <w:szCs w:val="32"/>
          <w:shd w:val="clear" w:color="auto" w:fill="FFFFFF"/>
          <w:lang w:val="en-US" w:eastAsia="zh-CN" w:bidi="en-US"/>
        </w:rPr>
        <w:t>主动公开内容的深度与广度不足，与公众需求匹配度不高</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政策解读的精准性与形式创新性有待提升</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依申请公开办理流程的规范化与服务水平需加强</w:t>
      </w:r>
      <w:r>
        <w:rPr>
          <w:rFonts w:hint="eastAsia" w:ascii="宋体" w:hAnsi="宋体" w:eastAsia="仿宋_GB2312" w:cs="宋体"/>
          <w:color w:val="auto"/>
          <w:kern w:val="0"/>
          <w:sz w:val="32"/>
          <w:szCs w:val="32"/>
          <w:shd w:val="clear" w:color="auto" w:fill="FFFFFF"/>
          <w:lang w:val="en-US" w:eastAsia="zh-CN" w:bidi="en-US"/>
        </w:rPr>
        <w:t>等。</w:t>
      </w:r>
    </w:p>
    <w:p w14:paraId="34C18A57">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eastAsia" w:eastAsia="黑体" w:cs="Times New Roman"/>
          <w:color w:val="auto"/>
          <w:sz w:val="32"/>
          <w:szCs w:val="32"/>
          <w:lang w:val="en-US" w:eastAsia="zh-CN" w:bidi="ar-SA"/>
        </w:rPr>
        <w:t>（三）</w:t>
      </w: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仿宋_GB2312" w:cs="Times New Roman"/>
          <w:b/>
          <w:bCs/>
          <w:color w:val="auto"/>
          <w:sz w:val="32"/>
          <w:szCs w:val="32"/>
          <w:lang w:eastAsia="zh-CN" w:bidi="ar-SA"/>
        </w:rPr>
        <w:t>　</w:t>
      </w:r>
    </w:p>
    <w:p w14:paraId="31AFCC80">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一是</w:t>
      </w:r>
      <w:r>
        <w:rPr>
          <w:rFonts w:hint="default" w:ascii="宋体" w:hAnsi="宋体" w:eastAsia="仿宋_GB2312" w:cs="宋体"/>
          <w:color w:val="auto"/>
          <w:kern w:val="0"/>
          <w:sz w:val="32"/>
          <w:szCs w:val="32"/>
          <w:shd w:val="clear" w:color="auto" w:fill="FFFFFF"/>
          <w:lang w:val="en-US" w:eastAsia="zh-CN" w:bidi="en-US"/>
        </w:rPr>
        <w:t>深化主动公开，提升信息“含金量”‍</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实施“清单化”管理，拓展公开广度</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对照上级要求和权责清单，全面梳理并制定了《市中区市场监管局主动公开基本目录》，将行政许可、行政处罚、监督抽查、执法检查、预警约谈等关键监管信息全部纳入公开范围，明确了每个事项的公开内容、时限、主体和渠道。</w:t>
      </w:r>
    </w:p>
    <w:p w14:paraId="5ED87838">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二是</w:t>
      </w:r>
      <w:r>
        <w:rPr>
          <w:rFonts w:hint="default" w:ascii="宋体" w:hAnsi="宋体" w:eastAsia="仿宋_GB2312" w:cs="宋体"/>
          <w:color w:val="auto"/>
          <w:kern w:val="0"/>
          <w:sz w:val="32"/>
          <w:szCs w:val="32"/>
          <w:shd w:val="clear" w:color="auto" w:fill="FFFFFF"/>
          <w:lang w:val="en-US" w:eastAsia="zh-CN" w:bidi="en-US"/>
        </w:rPr>
        <w:t>健全“三同步”工作机制</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严格落实政策性文件与解读方案、解读材料同步组织、同步审签、同步部署的“三同步”制度。确保每一份出台的规范性文件，都配有详尽且通俗的解读材料，从源头上杜绝了“有政策、无解读”的现象。</w:t>
      </w:r>
    </w:p>
    <w:p w14:paraId="670E626D">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三是</w:t>
      </w:r>
      <w:r>
        <w:rPr>
          <w:rFonts w:hint="default" w:ascii="宋体" w:hAnsi="宋体" w:eastAsia="仿宋_GB2312" w:cs="宋体"/>
          <w:color w:val="auto"/>
          <w:kern w:val="0"/>
          <w:sz w:val="32"/>
          <w:szCs w:val="32"/>
          <w:shd w:val="clear" w:color="auto" w:fill="FFFFFF"/>
          <w:lang w:val="en-US" w:eastAsia="zh-CN" w:bidi="en-US"/>
        </w:rPr>
        <w:t>规范依申请公开，打造服务型政府窗口</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制定并印发了《市中区市场监管局政府信息公开申请办理工作规程》，对从申请的接收、登记、补正，到审核、办理、答复的全流程进行了标准化、模板化规定，确保全局办理标准统一。</w:t>
      </w:r>
      <w:r>
        <w:rPr>
          <w:rFonts w:hint="eastAsia" w:ascii="宋体" w:hAnsi="宋体" w:eastAsia="仿宋_GB2312" w:cs="宋体"/>
          <w:color w:val="auto"/>
          <w:kern w:val="0"/>
          <w:sz w:val="32"/>
          <w:szCs w:val="32"/>
          <w:shd w:val="clear" w:color="auto" w:fill="FFFFFF"/>
          <w:lang w:val="en-US" w:eastAsia="zh-CN" w:bidi="en-US"/>
        </w:rPr>
        <w:t>同时，</w:t>
      </w:r>
      <w:r>
        <w:rPr>
          <w:rFonts w:hint="default" w:ascii="宋体" w:hAnsi="宋体" w:eastAsia="仿宋_GB2312" w:cs="宋体"/>
          <w:color w:val="auto"/>
          <w:kern w:val="0"/>
          <w:sz w:val="32"/>
          <w:szCs w:val="32"/>
          <w:shd w:val="clear" w:color="auto" w:fill="FFFFFF"/>
          <w:lang w:val="en-US" w:eastAsia="zh-CN" w:bidi="en-US"/>
        </w:rPr>
        <w:t>强化与申请人的主动沟通</w:t>
      </w:r>
      <w:r>
        <w:rPr>
          <w:rFonts w:hint="eastAsia" w:ascii="宋体" w:hAnsi="宋体" w:eastAsia="仿宋_GB2312" w:cs="宋体"/>
          <w:color w:val="auto"/>
          <w:kern w:val="0"/>
          <w:sz w:val="32"/>
          <w:szCs w:val="32"/>
          <w:shd w:val="clear" w:color="auto" w:fill="FFFFFF"/>
          <w:lang w:val="en-US" w:eastAsia="zh-CN" w:bidi="en-US"/>
        </w:rPr>
        <w:t>，</w:t>
      </w:r>
      <w:r>
        <w:rPr>
          <w:rFonts w:hint="default" w:ascii="宋体" w:hAnsi="宋体" w:eastAsia="仿宋_GB2312" w:cs="宋体"/>
          <w:color w:val="auto"/>
          <w:kern w:val="0"/>
          <w:sz w:val="32"/>
          <w:szCs w:val="32"/>
          <w:shd w:val="clear" w:color="auto" w:fill="FFFFFF"/>
          <w:lang w:val="en-US" w:eastAsia="zh-CN" w:bidi="en-US"/>
        </w:rPr>
        <w:t>将“沟通在前”作为一项基本工作原则。在收到申请后，对于申请内容不明确的，主动与申请人联系，协助其明确需求；在办理过程中，适时告知申请人办理进度；在作出答复前，特别是拟作出不予公开决定的，尽可能与申请人进行解释说明，争取理解。</w:t>
      </w:r>
    </w:p>
    <w:p w14:paraId="57E0F9BF">
      <w:pPr>
        <w:keepNext w:val="0"/>
        <w:keepLines w:val="0"/>
        <w:pageBreakBefore w:val="0"/>
        <w:widowControl/>
        <w:shd w:val="clear"/>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15224654">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default" w:ascii="宋体" w:hAnsi="宋体" w:eastAsia="仿宋_GB2312" w:cs="宋体"/>
          <w:color w:val="auto"/>
          <w:kern w:val="0"/>
          <w:sz w:val="32"/>
          <w:szCs w:val="32"/>
          <w:shd w:val="clear" w:color="auto" w:fill="FFFFFF"/>
          <w:lang w:val="en-US" w:eastAsia="zh-CN" w:bidi="en-US"/>
        </w:rPr>
        <w:t>本年度依申请公开政府信息未收取任何费用。</w:t>
      </w:r>
    </w:p>
    <w:p w14:paraId="35F1F67E">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val="en-US" w:eastAsia="zh-CN"/>
        </w:rPr>
        <w:t>落实上级年度政务公开工作要点情况</w:t>
      </w:r>
    </w:p>
    <w:p w14:paraId="20033792">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color w:val="auto"/>
          <w:kern w:val="0"/>
          <w:sz w:val="32"/>
          <w:szCs w:val="32"/>
          <w:shd w:val="clear" w:color="auto" w:fill="FFFFFF"/>
          <w:lang w:val="en-US" w:eastAsia="zh-CN" w:bidi="en-US"/>
        </w:rPr>
      </w:pPr>
      <w:r>
        <w:rPr>
          <w:rFonts w:hint="default" w:ascii="宋体" w:hAnsi="宋体" w:eastAsia="仿宋_GB2312" w:cs="宋体"/>
          <w:color w:val="auto"/>
          <w:kern w:val="0"/>
          <w:sz w:val="32"/>
          <w:szCs w:val="32"/>
          <w:shd w:val="clear" w:color="auto" w:fill="FFFFFF"/>
          <w:lang w:val="en-US" w:eastAsia="zh-CN" w:bidi="en-US"/>
        </w:rPr>
        <w:t>按照《国务院办公厅政府信息与政务公开办公室关于印发《中华人民共和国政府信息公开工作年度报告格式》的通知》（国办公开办函〔</w:t>
      </w:r>
      <w:r>
        <w:rPr>
          <w:rFonts w:hint="default" w:ascii="Times New Roman" w:hAnsi="Times New Roman" w:eastAsia="仿宋_GB2312" w:cs="Times New Roman"/>
          <w:color w:val="auto"/>
          <w:kern w:val="0"/>
          <w:sz w:val="32"/>
          <w:szCs w:val="32"/>
          <w:shd w:val="clear" w:color="auto" w:fill="FFFFFF"/>
          <w:lang w:val="en-US" w:eastAsia="zh-CN" w:bidi="en-US"/>
        </w:rPr>
        <w:t>2021</w:t>
      </w:r>
      <w:r>
        <w:rPr>
          <w:rFonts w:hint="default" w:ascii="宋体" w:hAnsi="宋体" w:eastAsia="仿宋_GB2312" w:cs="宋体"/>
          <w:color w:val="auto"/>
          <w:kern w:val="0"/>
          <w:sz w:val="32"/>
          <w:szCs w:val="32"/>
          <w:shd w:val="clear" w:color="auto" w:fill="FFFFFF"/>
          <w:lang w:val="en-US" w:eastAsia="zh-CN" w:bidi="en-US"/>
        </w:rPr>
        <w:t>〕</w:t>
      </w:r>
      <w:r>
        <w:rPr>
          <w:rFonts w:hint="default" w:ascii="Times New Roman" w:hAnsi="Times New Roman" w:eastAsia="仿宋_GB2312" w:cs="Times New Roman"/>
          <w:color w:val="auto"/>
          <w:kern w:val="0"/>
          <w:sz w:val="32"/>
          <w:szCs w:val="32"/>
          <w:shd w:val="clear" w:color="auto" w:fill="FFFFFF"/>
          <w:lang w:val="en-US" w:eastAsia="zh-CN" w:bidi="en-US"/>
        </w:rPr>
        <w:t>30</w:t>
      </w:r>
      <w:r>
        <w:rPr>
          <w:rFonts w:hint="default" w:ascii="宋体" w:hAnsi="宋体" w:eastAsia="仿宋_GB2312" w:cs="宋体"/>
          <w:color w:val="auto"/>
          <w:kern w:val="0"/>
          <w:sz w:val="32"/>
          <w:szCs w:val="32"/>
          <w:shd w:val="clear" w:color="auto" w:fill="FFFFFF"/>
          <w:lang w:val="en-US" w:eastAsia="zh-CN" w:bidi="en-US"/>
        </w:rPr>
        <w:t>号）和省、市有关工作要求，我局结合我区市场监管工作实际，进一步细化了任务要求，明确了各科室的责任分工，并按要求逐步推进。</w:t>
      </w:r>
    </w:p>
    <w:p w14:paraId="38F246F8">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bCs/>
          <w:color w:val="auto"/>
          <w:sz w:val="32"/>
          <w:szCs w:val="32"/>
          <w:lang w:val="en-US" w:eastAsia="zh-CN"/>
        </w:rPr>
        <w:t>（三）</w:t>
      </w:r>
      <w:r>
        <w:rPr>
          <w:rFonts w:hint="default" w:ascii="Times New Roman" w:hAnsi="Times New Roman" w:eastAsia="仿宋_GB2312" w:cs="Times New Roman"/>
          <w:b/>
          <w:bCs/>
          <w:color w:val="auto"/>
          <w:sz w:val="32"/>
          <w:szCs w:val="32"/>
          <w:lang w:val="en-US" w:eastAsia="zh-CN"/>
        </w:rPr>
        <w:t>人大代表建议和政协委员提案办理情况</w:t>
      </w:r>
    </w:p>
    <w:p w14:paraId="605688E4">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val="0"/>
          <w:bCs/>
          <w:snapToGrid w:val="0"/>
          <w:color w:val="auto"/>
          <w:spacing w:val="0"/>
          <w:kern w:val="0"/>
          <w:sz w:val="32"/>
          <w:szCs w:val="32"/>
          <w:lang w:val="en-US" w:eastAsia="zh-CN" w:bidi="ar"/>
        </w:rPr>
        <w:t>2025年度，区市场监管局共主办市十七届人大四次会议代表建议1件，协办区十三届人大三次会议代表建议4件；主办市政协十一届四次会议提案1件、协办1件，协办区政协十届四次会议提案7件。截至目前，所有承办的建议提案均已在规定时限内高质量办结，办复率达到100%，与代表、委员的沟通率达到100%，代表、委员对办理结果的满意率达到100%。</w:t>
      </w:r>
    </w:p>
    <w:p w14:paraId="76FE6F0F">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eastAsia="仿宋_GB2312" w:cs="Times New Roman"/>
          <w:b/>
          <w:bCs/>
          <w:color w:val="auto"/>
          <w:sz w:val="32"/>
          <w:szCs w:val="32"/>
          <w:shd w:val="clear" w:color="auto" w:fill="FFFFFF"/>
          <w:lang w:val="en-US" w:eastAsia="zh-CN"/>
        </w:rPr>
        <w:t>（四）</w:t>
      </w: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23AE631B">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napToGrid w:val="0"/>
          <w:color w:val="auto"/>
          <w:spacing w:val="0"/>
          <w:kern w:val="0"/>
          <w:sz w:val="32"/>
          <w:szCs w:val="32"/>
          <w:lang w:val="en-US" w:eastAsia="zh-CN" w:bidi="ar"/>
        </w:rPr>
      </w:pPr>
      <w:r>
        <w:rPr>
          <w:rFonts w:hint="eastAsia" w:ascii="Times New Roman" w:hAnsi="Times New Roman" w:eastAsia="仿宋_GB2312" w:cs="Times New Roman"/>
          <w:b w:val="0"/>
          <w:bCs/>
          <w:snapToGrid w:val="0"/>
          <w:color w:val="auto"/>
          <w:spacing w:val="0"/>
          <w:kern w:val="0"/>
          <w:sz w:val="32"/>
          <w:szCs w:val="32"/>
          <w:lang w:val="en-US" w:eastAsia="zh-CN" w:bidi="ar"/>
        </w:rPr>
        <w:t>一是</w:t>
      </w:r>
      <w:r>
        <w:rPr>
          <w:rFonts w:hint="default" w:ascii="Times New Roman" w:hAnsi="Times New Roman" w:eastAsia="仿宋_GB2312" w:cs="Times New Roman"/>
          <w:b w:val="0"/>
          <w:bCs/>
          <w:snapToGrid w:val="0"/>
          <w:color w:val="auto"/>
          <w:spacing w:val="0"/>
          <w:kern w:val="0"/>
          <w:sz w:val="32"/>
          <w:szCs w:val="32"/>
          <w:lang w:val="en-US" w:eastAsia="zh-CN" w:bidi="ar"/>
        </w:rPr>
        <w:t>攻坚重点领域信息公开</w:t>
      </w:r>
      <w:r>
        <w:rPr>
          <w:rFonts w:hint="eastAsia" w:ascii="Times New Roman" w:hAnsi="Times New Roman" w:eastAsia="仿宋_GB2312" w:cs="Times New Roman"/>
          <w:b w:val="0"/>
          <w:bCs/>
          <w:snapToGrid w:val="0"/>
          <w:color w:val="auto"/>
          <w:spacing w:val="0"/>
          <w:kern w:val="0"/>
          <w:sz w:val="32"/>
          <w:szCs w:val="32"/>
          <w:lang w:val="en-US" w:eastAsia="zh-CN" w:bidi="ar"/>
        </w:rPr>
        <w:t>。</w:t>
      </w:r>
      <w:r>
        <w:rPr>
          <w:rFonts w:hint="default" w:ascii="Times New Roman" w:hAnsi="Times New Roman" w:eastAsia="仿宋_GB2312" w:cs="Times New Roman"/>
          <w:b w:val="0"/>
          <w:bCs/>
          <w:snapToGrid w:val="0"/>
          <w:color w:val="auto"/>
          <w:spacing w:val="0"/>
          <w:kern w:val="0"/>
          <w:sz w:val="32"/>
          <w:szCs w:val="32"/>
          <w:lang w:val="en-US" w:eastAsia="zh-CN" w:bidi="ar"/>
        </w:rPr>
        <w:t>市中区市场监管局在一些关键领域加大了信息公开的力度，并取得了突破性进展。充分展示了直面监督、主动“晒账本”的决心和力度。</w:t>
      </w:r>
    </w:p>
    <w:p w14:paraId="5F96A5FF">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napToGrid w:val="0"/>
          <w:color w:val="auto"/>
          <w:spacing w:val="0"/>
          <w:kern w:val="0"/>
          <w:sz w:val="32"/>
          <w:szCs w:val="32"/>
          <w:lang w:val="en-US" w:eastAsia="zh-CN" w:bidi="ar"/>
        </w:rPr>
      </w:pPr>
      <w:r>
        <w:rPr>
          <w:rFonts w:hint="eastAsia" w:ascii="Times New Roman" w:hAnsi="Times New Roman" w:eastAsia="仿宋_GB2312" w:cs="Times New Roman"/>
          <w:b w:val="0"/>
          <w:bCs/>
          <w:snapToGrid w:val="0"/>
          <w:color w:val="auto"/>
          <w:spacing w:val="0"/>
          <w:kern w:val="0"/>
          <w:sz w:val="32"/>
          <w:szCs w:val="32"/>
          <w:lang w:val="en-US" w:eastAsia="zh-CN" w:bidi="ar"/>
        </w:rPr>
        <w:t>二是</w:t>
      </w:r>
      <w:r>
        <w:rPr>
          <w:rFonts w:hint="default" w:ascii="Times New Roman" w:hAnsi="Times New Roman" w:eastAsia="仿宋_GB2312" w:cs="Times New Roman"/>
          <w:b w:val="0"/>
          <w:bCs/>
          <w:snapToGrid w:val="0"/>
          <w:color w:val="auto"/>
          <w:spacing w:val="0"/>
          <w:kern w:val="0"/>
          <w:sz w:val="32"/>
          <w:szCs w:val="32"/>
          <w:lang w:val="en-US" w:eastAsia="zh-CN" w:bidi="ar"/>
        </w:rPr>
        <w:t>大力强化政策解读功能</w:t>
      </w:r>
      <w:r>
        <w:rPr>
          <w:rFonts w:hint="eastAsia" w:ascii="Times New Roman" w:hAnsi="Times New Roman" w:eastAsia="仿宋_GB2312" w:cs="Times New Roman"/>
          <w:b w:val="0"/>
          <w:bCs/>
          <w:snapToGrid w:val="0"/>
          <w:color w:val="auto"/>
          <w:spacing w:val="0"/>
          <w:kern w:val="0"/>
          <w:sz w:val="32"/>
          <w:szCs w:val="32"/>
          <w:lang w:val="en-US" w:eastAsia="zh-CN" w:bidi="ar"/>
        </w:rPr>
        <w:t>。</w:t>
      </w:r>
      <w:r>
        <w:rPr>
          <w:rFonts w:hint="default" w:ascii="Times New Roman" w:hAnsi="Times New Roman" w:eastAsia="仿宋_GB2312" w:cs="Times New Roman"/>
          <w:b w:val="0"/>
          <w:bCs/>
          <w:snapToGrid w:val="0"/>
          <w:color w:val="auto"/>
          <w:spacing w:val="0"/>
          <w:kern w:val="0"/>
          <w:sz w:val="32"/>
          <w:szCs w:val="32"/>
          <w:lang w:val="en-US" w:eastAsia="zh-CN" w:bidi="ar"/>
        </w:rPr>
        <w:t>针对市场监管领域政策法规专业性强的特点，市中区市场监管局彻底改变了过去简单“挂文件”的做法。对新出台的重要政策，同步推出多元化解读产品</w:t>
      </w:r>
      <w:r>
        <w:rPr>
          <w:rFonts w:hint="eastAsia" w:ascii="Times New Roman" w:hAnsi="Times New Roman" w:eastAsia="仿宋_GB2312" w:cs="Times New Roman"/>
          <w:b w:val="0"/>
          <w:bCs/>
          <w:snapToGrid w:val="0"/>
          <w:color w:val="auto"/>
          <w:spacing w:val="0"/>
          <w:kern w:val="0"/>
          <w:sz w:val="32"/>
          <w:szCs w:val="32"/>
          <w:lang w:val="en-US" w:eastAsia="zh-CN" w:bidi="ar"/>
        </w:rPr>
        <w:t>，有效</w:t>
      </w:r>
      <w:r>
        <w:rPr>
          <w:rFonts w:hint="default" w:ascii="Times New Roman" w:hAnsi="Times New Roman" w:eastAsia="仿宋_GB2312" w:cs="Times New Roman"/>
          <w:b w:val="0"/>
          <w:bCs/>
          <w:snapToGrid w:val="0"/>
          <w:color w:val="auto"/>
          <w:spacing w:val="0"/>
          <w:kern w:val="0"/>
          <w:sz w:val="32"/>
          <w:szCs w:val="32"/>
          <w:lang w:val="en-US" w:eastAsia="zh-CN" w:bidi="ar"/>
        </w:rPr>
        <w:t>降低了市场主体和群众的理解门槛，推动了政策的有效落地。</w:t>
      </w:r>
    </w:p>
    <w:p w14:paraId="6A28255E">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20E67527">
      <w:pPr>
        <w:keepNext w:val="0"/>
        <w:keepLines w:val="0"/>
        <w:pageBreakBefore w:val="0"/>
        <w:widowControl/>
        <w:kinsoku/>
        <w:wordWrap/>
        <w:overflowPunct/>
        <w:topLinePunct w:val="0"/>
        <w:autoSpaceDE/>
        <w:autoSpaceDN/>
        <w:bidi w:val="0"/>
        <w:adjustRightInd/>
        <w:snapToGrid/>
        <w:spacing w:line="540" w:lineRule="exact"/>
        <w:ind w:firstLine="640" w:firstLineChars="200"/>
        <w:contextualSpacing/>
        <w:jc w:val="both"/>
        <w:textAlignment w:val="auto"/>
        <w:rPr>
          <w:rFonts w:hint="eastAsia" w:eastAsia="仿宋_GB2312"/>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w:t>
      </w:r>
      <w:r>
        <w:rPr>
          <w:rFonts w:eastAsia="仿宋_GB2312"/>
          <w:color w:val="auto"/>
          <w:sz w:val="32"/>
          <w:szCs w:val="32"/>
          <w:shd w:val="clear" w:color="auto" w:fill="FFFFFF"/>
          <w:lang w:eastAsia="zh-CN"/>
        </w:rPr>
        <w:t>可与</w:t>
      </w:r>
      <w:r>
        <w:rPr>
          <w:rFonts w:hint="eastAsia" w:eastAsia="仿宋_GB2312"/>
          <w:color w:val="auto"/>
          <w:sz w:val="32"/>
          <w:szCs w:val="32"/>
          <w:shd w:val="clear" w:color="auto" w:fill="FFFFFF"/>
          <w:lang w:val="en-US" w:eastAsia="zh-CN"/>
        </w:rPr>
        <w:t>市中区市场监督管理局</w:t>
      </w:r>
      <w:r>
        <w:rPr>
          <w:rFonts w:hint="eastAsia"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枣庄市市中区建华西路100号</w:t>
      </w:r>
      <w:r>
        <w:rPr>
          <w:rFonts w:hint="eastAsia"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hint="eastAsia"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0632-3210686</w:t>
      </w:r>
      <w:r>
        <w:rPr>
          <w:rFonts w:hint="eastAsia" w:eastAsia="仿宋_GB2312"/>
          <w:color w:val="auto"/>
          <w:sz w:val="32"/>
          <w:szCs w:val="32"/>
          <w:shd w:val="clear" w:color="auto" w:fill="FFFFFF"/>
          <w:lang w:eastAsia="zh-CN"/>
        </w:rPr>
        <w:t>，</w:t>
      </w:r>
      <w:r>
        <w:rPr>
          <w:rFonts w:hint="default" w:eastAsia="仿宋_GB2312"/>
          <w:color w:val="auto"/>
          <w:sz w:val="32"/>
          <w:szCs w:val="32"/>
          <w:shd w:val="clear" w:color="auto" w:fill="FFFFFF"/>
          <w:lang w:val="en-US" w:eastAsia="zh-CN"/>
        </w:rPr>
        <w:t>电子邮箱：</w:t>
      </w:r>
      <w:r>
        <w:rPr>
          <w:rFonts w:hint="eastAsia" w:eastAsia="仿宋_GB2312"/>
          <w:color w:val="auto"/>
          <w:sz w:val="32"/>
          <w:szCs w:val="32"/>
          <w:shd w:val="clear" w:color="auto" w:fill="FFFFFF"/>
          <w:lang w:val="en-US" w:eastAsia="zh-CN"/>
        </w:rPr>
        <w:t>zzszqyzcj@163.com</w:t>
      </w:r>
      <w:r>
        <w:rPr>
          <w:rFonts w:hint="eastAsia" w:eastAsia="仿宋_GB2312"/>
          <w:color w:val="auto"/>
          <w:sz w:val="32"/>
          <w:szCs w:val="32"/>
          <w:shd w:val="clear" w:color="auto" w:fill="FFFFFF"/>
          <w:lang w:eastAsia="zh-CN"/>
        </w:rPr>
        <w:t>） 。</w:t>
      </w:r>
    </w:p>
    <w:p w14:paraId="4666F5A3">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shd w:val="clear"/>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8E059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center"/>
        <w:textAlignment w:val="auto"/>
        <w:rPr>
          <w:rFonts w:hint="eastAsia" w:eastAsia="仿宋_GB2312"/>
          <w:b/>
          <w:bCs/>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 xml:space="preserve">                          市中区市场监督管理局</w:t>
      </w:r>
    </w:p>
    <w:p w14:paraId="48F4F945">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lang w:val="en-US"/>
        </w:rPr>
      </w:pPr>
      <w:r>
        <w:rPr>
          <w:rFonts w:hint="eastAsia" w:eastAsia="仿宋_GB2312"/>
          <w:b/>
          <w:bCs/>
          <w:color w:val="auto"/>
          <w:sz w:val="32"/>
          <w:szCs w:val="32"/>
          <w:shd w:val="clear" w:color="auto" w:fill="FFFFFF"/>
          <w:lang w:val="en-US" w:eastAsia="zh-CN"/>
        </w:rPr>
        <w:t xml:space="preserve">                                  </w:t>
      </w:r>
      <w:r>
        <w:rPr>
          <w:rFonts w:hint="eastAsia" w:eastAsia="仿宋_GB2312"/>
          <w:b w:val="0"/>
          <w:bCs w:val="0"/>
          <w:color w:val="auto"/>
          <w:sz w:val="32"/>
          <w:szCs w:val="32"/>
          <w:shd w:val="clear" w:color="auto" w:fill="FFFFFF"/>
          <w:lang w:val="en-US" w:eastAsia="zh-CN"/>
        </w:rPr>
        <w:t>2026年1月20日</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EC683E-9A73-4DB9-A281-BD1E2BDCDC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BC5F190-97CC-44B8-966D-1EB3B7205EC4}"/>
  </w:font>
  <w:font w:name="方正小标宋简体">
    <w:panose1 w:val="02000000000000000000"/>
    <w:charset w:val="86"/>
    <w:family w:val="auto"/>
    <w:pitch w:val="default"/>
    <w:sig w:usb0="00000001" w:usb1="08000000" w:usb2="00000000" w:usb3="00000000" w:csb0="00040000" w:csb1="00000000"/>
    <w:embedRegular r:id="rId3" w:fontKey="{3DE4AF6E-D6B6-4793-AD92-059F04262A28}"/>
  </w:font>
  <w:font w:name="仿宋_GB2312">
    <w:panose1 w:val="02010609030101010101"/>
    <w:charset w:val="86"/>
    <w:family w:val="modern"/>
    <w:pitch w:val="default"/>
    <w:sig w:usb0="00000001" w:usb1="080E0000" w:usb2="00000000" w:usb3="00000000" w:csb0="00040000" w:csb1="00000000"/>
    <w:embedRegular r:id="rId4" w:fontKey="{4F381AE7-86D4-492A-8187-F133C387E9BA}"/>
  </w:font>
  <w:font w:name="楷体_GB2312">
    <w:altName w:val="楷体"/>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A68A3E39-6C8F-46E5-B56A-BBA34FCB57A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197B5">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14:paraId="561BBAA6">
                          <w:pPr>
                            <w:pStyle w:val="10"/>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fill on="f" focussize="0,0"/>
              <v:stroke on="f"/>
              <v:imagedata o:title=""/>
              <o:lock v:ext="edit" aspectratio="f"/>
              <v:textbox inset="0mm,0mm,0mm,0mm" style="mso-fit-shape-to-text:t;">
                <w:txbxContent>
                  <w:p w14:paraId="561BBAA6">
                    <w:pPr>
                      <w:pStyle w:val="10"/>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261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2257D"/>
    <w:rsid w:val="01D17C9B"/>
    <w:rsid w:val="0512257D"/>
    <w:rsid w:val="0730428E"/>
    <w:rsid w:val="09BA53F2"/>
    <w:rsid w:val="0E3A5498"/>
    <w:rsid w:val="11E20E0C"/>
    <w:rsid w:val="189C0B38"/>
    <w:rsid w:val="1B9B4505"/>
    <w:rsid w:val="1C526278"/>
    <w:rsid w:val="1CF55E97"/>
    <w:rsid w:val="290B259E"/>
    <w:rsid w:val="2C4F11E1"/>
    <w:rsid w:val="2CD624D9"/>
    <w:rsid w:val="2DA56BDE"/>
    <w:rsid w:val="2F9E5F1A"/>
    <w:rsid w:val="317337AB"/>
    <w:rsid w:val="34D76745"/>
    <w:rsid w:val="3A03179B"/>
    <w:rsid w:val="3A6163AF"/>
    <w:rsid w:val="3A836438"/>
    <w:rsid w:val="3F605D56"/>
    <w:rsid w:val="40220D00"/>
    <w:rsid w:val="45012BE9"/>
    <w:rsid w:val="48480CC1"/>
    <w:rsid w:val="4AAF1724"/>
    <w:rsid w:val="4AD11442"/>
    <w:rsid w:val="4DF0398D"/>
    <w:rsid w:val="4E7740AE"/>
    <w:rsid w:val="51420E5E"/>
    <w:rsid w:val="57031E57"/>
    <w:rsid w:val="5FFA2A87"/>
    <w:rsid w:val="610E2650"/>
    <w:rsid w:val="62265778"/>
    <w:rsid w:val="6A0A28BC"/>
    <w:rsid w:val="6B8626C8"/>
    <w:rsid w:val="6FA73E50"/>
    <w:rsid w:val="77894387"/>
    <w:rsid w:val="79027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8">
    <w:name w:val="Other|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Header or footer|1"/>
    <w:basedOn w:val="1"/>
    <w:qFormat/>
    <w:uiPriority w:val="0"/>
    <w:rPr>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9c88fe2b-4d96-472b-b519-0b1e4c3edd1b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f6ed7878-1aad-49e7-8eb7-912a401e8ec0</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a52c05a9-86bc-41f4-9ada-34d37fed3b95</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43f678d2-ca55-4153-869f-aa65e9b72ada</errorID>
      <errorWord>中</errorWord>
      <group>L1_Word</group>
      <groupName>字词问题</groupName>
      <ability>L2_Typo</ability>
      <abilityName>字词错误</abilityName>
      <candidateList>
        <item>中区</item>
      </candidateList>
      <explain/>
      <paraID>427A9A90</paraID>
      <start>33</start>
      <end>34</end>
      <status>unmodified</status>
      <modifiedWord/>
      <trackRevisions>false</trackRevisions>
    </reviewItem>
    <reviewItem>
      <errorID>a1cb3ceb-fda8-4569-ac04-7e310be8f176</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4a9b89e1-32c5-43a3-bbf7-41ff07b69c14</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
      <errorID>5aa92b0b-e07c-457f-8474-279344223c55</errorID>
      <errorWord>加强</errorWord>
      <group>L1_Grammar</group>
      <groupName>语法问题</groupName>
      <ability>L2_Grammar</ability>
      <abilityName>语法错误</abilityName>
      <candidateList>
        <item>促进</item>
      </candidateList>
      <explain>“水平～加强”搭配不当，建议修改为“水平～促进”。</explain>
      <paraID>1BD9738D</paraID>
      <start>106</start>
      <end>108</end>
      <status>unmodified</status>
      <modifiedWord/>
      <trackRevisions>false</trackRevisions>
    </reviewItem>
    <reviewItem>
      <errorID>98319017-8586-4dfe-b2ce-ffba0849e26f</errorID>
      <errorWord>《</errorWord>
      <group>L1_Punc</group>
      <groupName>标点问题</groupName>
      <ability>L2_Punc</ability>
      <abilityName>标点符号检查</abilityName>
      <candidateList/>
      <explain>同一形式括号套用。</explain>
      <paraID>20033792</paraID>
      <start>25</start>
      <end>26</end>
      <status>unmodified</status>
      <modifiedWord/>
      <trackRevisions>false</trackRevisions>
    </reviewItem>
    <reviewItem>
      <errorID>54b66c51-328f-42ef-9dfb-7866c3ed14c2</errorID>
      <errorWord>》</errorWord>
      <group>L1_Punc</group>
      <groupName>标点问题</groupName>
      <ability>L2_Punc</ability>
      <abilityName>标点符号检查</abilityName>
      <candidateList/>
      <explain>同一形式括号套用。</explain>
      <paraID>20033792</paraID>
      <start>47</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77f32-5063-40f1-b114-42cad70d7e27}">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3848</Words>
  <Characters>4050</Characters>
  <Lines>0</Lines>
  <Paragraphs>0</Paragraphs>
  <TotalTime>8</TotalTime>
  <ScaleCrop>false</ScaleCrop>
  <LinksUpToDate>false</LinksUpToDate>
  <CharactersWithSpaces>4130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2026-01-19T06:11:00Z</dcterms:created>
  <dc:creator>Administrator</dc:creator>
  <cp:lastModifiedBy>WPS_1696590446</cp:lastModifiedBy>
  <dcterms:modified xsi:type="dcterms:W3CDTF">2026-01-21T02:50:40Z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D565F7C5C63C4D5CA2DF969A2EDC0D8F_11</vt:lpwstr>
  </property>
  <property fmtid="{D5CDD505-2E9C-101B-9397-08002B2CF9AE}" pid="4" name="KSOTemplateDocerSaveRecord">
    <vt:lpwstr>eyJoZGlkIjoiNDkzYTZlMjY4MTAyODBkNmE2OTFiNzgyMTI3OTE1ZjYiLCJ1c2VySWQiOiIxNTQ4MDkzMDc1In0=</vt:lpwstr>
  </property>
</Properties>
</file>