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02AB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t>市中区</w:t>
      </w:r>
      <w:r>
        <w:rPr>
          <w:rFonts w:hint="eastAsia" w:eastAsia="方正小标宋简体" w:cs="Times New Roman"/>
          <w:b w:val="0"/>
          <w:bCs w:val="0"/>
          <w:color w:val="000000" w:themeColor="text1"/>
          <w:sz w:val="44"/>
          <w:szCs w:val="44"/>
          <w:lang w:val="en-US" w:eastAsia="zh-CN"/>
          <w14:textFill>
            <w14:solidFill>
              <w14:schemeClr w14:val="tx1"/>
            </w14:solidFill>
          </w14:textFill>
        </w:rPr>
        <w:t>民政局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t>202</w:t>
      </w:r>
      <w:r>
        <w:rPr>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t>5</w:t>
      </w:r>
      <w:r>
        <w:rPr>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shd w:val="clear" w:color="auto" w:fill="FFFFFF"/>
          <w:lang w:eastAsia="zh-CN"/>
          <w14:textFill>
            <w14:solidFill>
              <w14:schemeClr w14:val="tx1"/>
            </w14:solidFill>
          </w14:textFill>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21</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30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号）和省、</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市</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有关工作要求，编制本报告并向社会公开。本年度报告电子版可从</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市中区</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人民政府门户网站（</w:t>
      </w:r>
      <w:r>
        <w:rPr>
          <w:rFonts w:hint="default" w:ascii="Times New Roman" w:hAnsi="Times New Roman" w:eastAsia="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http://www.zzszq.gov.cn/</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）查阅或下载。本报告所列数据的统计</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期</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限自202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年1月1日</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起</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至202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年12月31日</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止</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。如对本报告有疑问，可与</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市中区民政局</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联系（地址</w:t>
      </w:r>
      <w:r>
        <w:rPr>
          <w:rFonts w:hint="eastAsia"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枣庄市市中区胜利中路16号，邮编：</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277100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，电话：</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0632-</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3319059</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zzsszqmzjadmin@zz.shandong.cn） 。</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FFFFFF"/>
          <w:lang w:val="en-US" w:eastAsia="zh-CN"/>
          <w14:textFill>
            <w14:solidFill>
              <w14:schemeClr w14:val="tx1"/>
            </w14:solidFill>
          </w14:textFill>
        </w:rPr>
        <w:t>一、</w:t>
      </w:r>
      <w:r>
        <w:rPr>
          <w:rFonts w:hint="default" w:ascii="Times New Roman" w:hAnsi="Times New Roman" w:eastAsia="黑体" w:cs="Times New Roman"/>
          <w:b w:val="0"/>
          <w:bCs w:val="0"/>
          <w:color w:val="000000" w:themeColor="text1"/>
          <w:sz w:val="32"/>
          <w:szCs w:val="32"/>
          <w:shd w:val="clear" w:color="auto" w:fill="FFFFFF"/>
          <w:lang w:eastAsia="zh-CN"/>
          <w14:textFill>
            <w14:solidFill>
              <w14:schemeClr w14:val="tx1"/>
            </w14:solidFill>
          </w14:textFill>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2025年，</w:t>
      </w:r>
      <w:r>
        <w:rPr>
          <w:rFonts w:hint="eastAsia" w:eastAsia="仿宋_GB2312" w:cs="Times New Roman"/>
          <w:b w:val="0"/>
          <w:bCs w:val="0"/>
          <w:color w:val="000000" w:themeColor="text1"/>
          <w:sz w:val="32"/>
          <w:szCs w:val="32"/>
          <w:lang w:val="en-US" w:eastAsia="zh-CN"/>
          <w14:textFill>
            <w14:solidFill>
              <w14:schemeClr w14:val="tx1"/>
            </w14:solidFill>
          </w14:textFill>
        </w:rPr>
        <w:t>市中区民政局</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3C434C8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主动公开</w:t>
      </w:r>
    </w:p>
    <w:p w14:paraId="0A93CD60">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2025年，我局主动公开信息</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853</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条，其中在区政府门户网站公开</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202</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条，利用微信形式公开</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651</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条。</w:t>
      </w:r>
    </w:p>
    <w:p w14:paraId="377410F5">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center"/>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p>
    <w:p w14:paraId="73D71E9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center"/>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p>
    <w:p w14:paraId="3141F07B">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center"/>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drawing>
          <wp:inline distT="0" distB="0" distL="114300" distR="114300">
            <wp:extent cx="3052445" cy="2045970"/>
            <wp:effectExtent l="0" t="0" r="14605" b="11430"/>
            <wp:docPr id="4" name="图片 4"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1"/>
                    <pic:cNvPicPr>
                      <a:picLocks noChangeAspect="1"/>
                    </pic:cNvPicPr>
                  </pic:nvPicPr>
                  <pic:blipFill>
                    <a:blip r:embed="rId6"/>
                    <a:srcRect b="71993"/>
                    <a:stretch>
                      <a:fillRect/>
                    </a:stretch>
                  </pic:blipFill>
                  <pic:spPr>
                    <a:xfrm>
                      <a:off x="0" y="0"/>
                      <a:ext cx="3052445" cy="2045970"/>
                    </a:xfrm>
                    <a:prstGeom prst="rect">
                      <a:avLst/>
                    </a:prstGeom>
                  </pic:spPr>
                </pic:pic>
              </a:graphicData>
            </a:graphic>
          </wp:inline>
        </w:drawing>
      </w:r>
    </w:p>
    <w:p w14:paraId="44A8A8D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及时公开机构概况。根据《中华人民共和国政府信息公开条例》第二十条第（二）款要求，在机构改革完成后，第一时间更新机关职能、机构设置、办公地址、办公时间、联系方式、负责人姓名，并在区政府信息公开专栏公布。</w:t>
      </w:r>
    </w:p>
    <w:p w14:paraId="602CAB74">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不断完善民生领域信息公开内容。根据《中华人民共和国政府信息公开条例》第二十条第（七）款要求，结合业务工作实际，按月公开城乡低保、城乡特困、临时救助、残疾人两项补贴、儿童福利类、经济困难老人生活补贴、经济困难老人护理补贴等资金发放情况，便于公众了解。同时，不断扩大公开范围、细化公开内容，让公众及时掌握民政信息。</w:t>
      </w:r>
    </w:p>
    <w:p w14:paraId="66BF68A6">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宋体"/>
          <w:b w:val="0"/>
          <w:bCs w:val="0"/>
          <w:color w:val="000000" w:themeColor="text1"/>
          <w:lang w:eastAsia="zh-CN"/>
          <w14:textFill>
            <w14:solidFill>
              <w14:schemeClr w14:val="tx1"/>
            </w14:solidFill>
          </w14:textFill>
        </w:rPr>
        <w:drawing>
          <wp:inline distT="0" distB="0" distL="114300" distR="114300">
            <wp:extent cx="3709670" cy="2574290"/>
            <wp:effectExtent l="0" t="0" r="5080" b="16510"/>
            <wp:docPr id="6" name="图片 6"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111"/>
                    <pic:cNvPicPr>
                      <a:picLocks noChangeAspect="1"/>
                    </pic:cNvPicPr>
                  </pic:nvPicPr>
                  <pic:blipFill>
                    <a:blip r:embed="rId7"/>
                    <a:stretch>
                      <a:fillRect/>
                    </a:stretch>
                  </pic:blipFill>
                  <pic:spPr>
                    <a:xfrm>
                      <a:off x="0" y="0"/>
                      <a:ext cx="3709670" cy="2574290"/>
                    </a:xfrm>
                    <a:prstGeom prst="rect">
                      <a:avLst/>
                    </a:prstGeom>
                  </pic:spPr>
                </pic:pic>
              </a:graphicData>
            </a:graphic>
          </wp:inline>
        </w:drawing>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依申请公开</w:t>
      </w:r>
    </w:p>
    <w:p w14:paraId="1517C64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年共受理政府信息公开申请</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涉及</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婚姻登记</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残疾人两项补贴</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领域。</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其中予以公开申请</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件，部分公开</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件，不予公开</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件，无法提供</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件，不予处理</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件，均在法定期限内予以答复。</w:t>
      </w:r>
    </w:p>
    <w:p w14:paraId="70476A9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本年度依申请公开政府信息未收取任何费用。</w:t>
      </w:r>
    </w:p>
    <w:p w14:paraId="536D9A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因政府信息公开被申请行政复议</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w:t>
      </w:r>
    </w:p>
    <w:p w14:paraId="717AEC7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（四）政府信息公开</w:t>
      </w: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依托“</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枣庄市市中区人民政府</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网站”“</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政府信息公开专栏</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”等平台发布信息，推动政务公开信息向不同群体精准推送，提升群众获取政府信息的便利度和幸福感</w:t>
      </w:r>
      <w:r>
        <w:rPr>
          <w:rFonts w:hint="eastAsia" w:eastAsia="仿宋_GB2312" w:cs="Times New Roman"/>
          <w:b w:val="0"/>
          <w:bCs w:val="0"/>
          <w:color w:val="000000" w:themeColor="text1"/>
          <w:sz w:val="32"/>
          <w:szCs w:val="32"/>
          <w:shd w:val="clear" w:color="auto" w:fill="FFFFFF"/>
          <w:lang w:eastAsia="zh-CN"/>
          <w14:textFill>
            <w14:solidFill>
              <w14:schemeClr w14:val="tx1"/>
            </w14:solidFill>
          </w14:textFill>
        </w:rPr>
        <w:t>。</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b w:val="0"/>
          <w:bCs w:val="0"/>
          <w:color w:val="000000" w:themeColor="text1"/>
          <w:sz w:val="32"/>
          <w:szCs w:val="32"/>
          <w:lang w:eastAsia="zh-CN" w:bidi="ar-SA"/>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t>（五）</w:t>
      </w:r>
      <w:r>
        <w:rPr>
          <w:rFonts w:hint="default" w:ascii="Times New Roman" w:hAnsi="Times New Roman" w:eastAsia="黑体" w:cs="Times New Roman"/>
          <w:b w:val="0"/>
          <w:bCs w:val="0"/>
          <w:color w:val="000000" w:themeColor="text1"/>
          <w:sz w:val="32"/>
          <w:szCs w:val="32"/>
          <w:lang w:eastAsia="zh-CN" w:bidi="ar-SA"/>
          <w14:textFill>
            <w14:solidFill>
              <w14:schemeClr w14:val="tx1"/>
            </w14:solidFill>
          </w14:textFill>
        </w:rPr>
        <w:t>监督保障</w:t>
      </w:r>
    </w:p>
    <w:p w14:paraId="5457C581">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市中区民政局高度重视政府信息公开工作，将其列入重要议事日程，明确分管领导牵头负责、专职人员具体承办，统筹协调全局政务信息公开工作，实现组织领导、机构人员、工作措施“三个到位”。</w:t>
      </w:r>
    </w:p>
    <w:p w14:paraId="7BBDF8C9">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强化业务培训赋能，全面提升工作质效。积极组织相关人员参加上级部门举办的政府信息公开工作会议和业务培训，同步面向各科室开展专题辅导，切实提升工作人员对政府信息公开工作的思想认识和业务能力，为各项工作顺利推进奠定坚实基础。</w:t>
      </w:r>
    </w:p>
    <w:p w14:paraId="7B710DDE">
      <w:pPr>
        <w:pStyle w:val="11"/>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b w:val="0"/>
          <w:bCs w:val="0"/>
          <w:color w:val="000000" w:themeColor="text1"/>
          <w:sz w:val="32"/>
          <w:szCs w:val="32"/>
          <w14:textFill>
            <w14:solidFill>
              <w14:schemeClr w14:val="tx1"/>
            </w14:solidFill>
          </w14:textFill>
        </w:rPr>
        <w:t>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val="en-US"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本年处理决定数量</w:t>
            </w:r>
          </w:p>
        </w:tc>
      </w:tr>
      <w:tr w14:paraId="51B7A512">
        <w:tblPrEx>
          <w:tblCellMar>
            <w:top w:w="0" w:type="dxa"/>
            <w:left w:w="108" w:type="dxa"/>
            <w:bottom w:w="0" w:type="dxa"/>
            <w:right w:w="108" w:type="dxa"/>
          </w:tblCellMar>
        </w:tblPrEx>
        <w:trPr>
          <w:trHeight w:val="633"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eastAsia" w:eastAsia="仿宋_GB2312" w:cs="Times New Roman"/>
                <w:b w:val="0"/>
                <w:bCs w:val="0"/>
                <w:color w:val="000000" w:themeColor="text1"/>
                <w:kern w:val="0"/>
                <w:szCs w:val="21"/>
                <w:lang w:val="en-US" w:eastAsia="zh-CN"/>
                <w14:textFill>
                  <w14:solidFill>
                    <w14:schemeClr w14:val="tx1"/>
                  </w14:solidFill>
                </w14:textFill>
              </w:rPr>
              <w:t>0</w:t>
            </w:r>
          </w:p>
        </w:tc>
      </w:tr>
    </w:tbl>
    <w:p w14:paraId="4E6A2AF6">
      <w:pPr>
        <w:pStyle w:val="11"/>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p>
    <w:p w14:paraId="732BF267">
      <w:pPr>
        <w:pStyle w:val="11"/>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b w:val="0"/>
          <w:bCs w:val="0"/>
          <w:color w:val="000000" w:themeColor="text1"/>
          <w:sz w:val="32"/>
          <w:szCs w:val="32"/>
          <w14:textFill>
            <w14:solidFill>
              <w14:schemeClr w14:val="tx1"/>
            </w14:solidFill>
          </w14:textFill>
        </w:rPr>
        <w:t>收到和处理政府信息公开申请情况</w:t>
      </w:r>
    </w:p>
    <w:tbl>
      <w:tblPr>
        <w:tblStyle w:val="6"/>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p>
        </w:tc>
        <w:tc>
          <w:tcPr>
            <w:tcW w:w="752"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p>
        </w:tc>
        <w:tc>
          <w:tcPr>
            <w:tcW w:w="690"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商业企业</w:t>
            </w:r>
          </w:p>
        </w:tc>
        <w:tc>
          <w:tcPr>
            <w:tcW w:w="690"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科研机构</w:t>
            </w:r>
          </w:p>
        </w:tc>
        <w:tc>
          <w:tcPr>
            <w:tcW w:w="895"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bCs w:val="0"/>
                <w:color w:val="000000" w:themeColor="text1"/>
                <w:kern w:val="0"/>
                <w:sz w:val="21"/>
                <w:szCs w:val="21"/>
                <w:lang w:eastAsia="zh-CN" w:bidi="ar-SA"/>
                <w14:textFill>
                  <w14:solidFill>
                    <w14:schemeClr w14:val="tx1"/>
                  </w14:solidFill>
                </w14:textFill>
              </w:rPr>
              <w:t>其他</w:t>
            </w:r>
          </w:p>
        </w:tc>
        <w:tc>
          <w:tcPr>
            <w:tcW w:w="49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bCs w:val="0"/>
                <w:color w:val="000000" w:themeColor="text1"/>
                <w:kern w:val="2"/>
                <w:sz w:val="21"/>
                <w:szCs w:val="21"/>
                <w:lang w:eastAsia="zh-CN" w:bidi="ar-SA"/>
                <w14:textFill>
                  <w14:solidFill>
                    <w14:schemeClr w14:val="tx1"/>
                  </w14:solidFill>
                </w14:textFill>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一、</w:t>
            </w:r>
            <w:bookmarkStart w:id="0" w:name="_Hlk66973412"/>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2</w:t>
            </w:r>
          </w:p>
        </w:tc>
        <w:tc>
          <w:tcPr>
            <w:tcW w:w="690"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2</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2</w:t>
            </w:r>
          </w:p>
        </w:tc>
        <w:tc>
          <w:tcPr>
            <w:tcW w:w="690"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2</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（二）部分公开（</w:t>
            </w:r>
            <w:bookmarkStart w:id="1" w:name="_Hlk66973981"/>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区分处理的，只计这一情形，不计其他情形</w:t>
            </w:r>
            <w:bookmarkEnd w:id="1"/>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w:t>
            </w:r>
          </w:p>
        </w:tc>
        <w:tc>
          <w:tcPr>
            <w:tcW w:w="752"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2.</w:t>
            </w:r>
            <w:bookmarkStart w:id="2" w:name="_Hlk66974104"/>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4.</w:t>
            </w:r>
            <w:bookmarkStart w:id="3" w:name="_Hlk66974290"/>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6.</w:t>
            </w:r>
            <w:bookmarkStart w:id="4" w:name="_Hlk66974555"/>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8.</w:t>
            </w:r>
            <w:bookmarkStart w:id="5" w:name="_Hlk66975211"/>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2.</w:t>
            </w:r>
            <w:bookmarkStart w:id="6" w:name="_Hlk66975392"/>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3.</w:t>
            </w:r>
            <w:bookmarkStart w:id="7" w:name="_Hlk66975466"/>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1.</w:t>
            </w:r>
            <w:bookmarkStart w:id="8" w:name="_Hlk66975537"/>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2.重复申请</w:t>
            </w:r>
          </w:p>
        </w:tc>
        <w:tc>
          <w:tcPr>
            <w:tcW w:w="752"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2514"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（六）其他处理</w:t>
            </w:r>
          </w:p>
        </w:tc>
        <w:tc>
          <w:tcPr>
            <w:tcW w:w="2514"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p>
        </w:tc>
        <w:tc>
          <w:tcPr>
            <w:tcW w:w="2514"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p>
        </w:tc>
        <w:tc>
          <w:tcPr>
            <w:tcW w:w="2514"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t>3.其他</w:t>
            </w:r>
          </w:p>
        </w:tc>
        <w:tc>
          <w:tcPr>
            <w:tcW w:w="752"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bCs w:val="0"/>
                <w:color w:val="000000" w:themeColor="text1"/>
                <w:kern w:val="2"/>
                <w:sz w:val="21"/>
                <w:szCs w:val="21"/>
                <w:lang w:eastAsia="zh-CN" w:bidi="ar-SA"/>
                <w14:textFill>
                  <w14:solidFill>
                    <w14:schemeClr w14:val="tx1"/>
                  </w14:solidFill>
                </w14:textFill>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bCs w:val="0"/>
                <w:color w:val="000000" w:themeColor="text1"/>
                <w:kern w:val="0"/>
                <w:sz w:val="21"/>
                <w:szCs w:val="21"/>
                <w:lang w:eastAsia="zh-CN" w:bidi="ar-SA"/>
                <w14:textFill>
                  <w14:solidFill>
                    <w14:schemeClr w14:val="tx1"/>
                  </w14:solidFill>
                </w14:textFill>
              </w:rPr>
              <w:t>（七）总计</w:t>
            </w:r>
          </w:p>
        </w:tc>
        <w:tc>
          <w:tcPr>
            <w:tcW w:w="752"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2</w:t>
            </w:r>
          </w:p>
        </w:tc>
        <w:tc>
          <w:tcPr>
            <w:tcW w:w="690"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bCs w:val="0"/>
                <w:color w:val="000000" w:themeColor="text1"/>
                <w:kern w:val="2"/>
                <w:sz w:val="21"/>
                <w:szCs w:val="21"/>
                <w:lang w:val="en-US" w:eastAsia="zh-CN" w:bidi="ar-SA"/>
                <w14:textFill>
                  <w14:solidFill>
                    <w14:schemeClr w14:val="tx1"/>
                  </w14:solidFill>
                </w14:textFill>
              </w:rPr>
              <w:t>2</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690"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95"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24"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89"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49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bl>
    <w:p w14:paraId="5826A8D6">
      <w:pPr>
        <w:pStyle w:val="11"/>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四、</w:t>
      </w:r>
      <w:r>
        <w:rPr>
          <w:rFonts w:hint="default" w:ascii="Times New Roman" w:hAnsi="Times New Roman" w:eastAsia="黑体" w:cs="Times New Roman"/>
          <w:b w:val="0"/>
          <w:bCs w:val="0"/>
          <w:color w:val="000000" w:themeColor="text1"/>
          <w:sz w:val="32"/>
          <w:szCs w:val="32"/>
          <w14:textFill>
            <w14:solidFill>
              <w14:schemeClr w14:val="tx1"/>
            </w14:solidFill>
          </w14:textFill>
        </w:rPr>
        <w:t>政府信息公开行政复议、行政诉讼情况</w:t>
      </w:r>
    </w:p>
    <w:p w14:paraId="45920097">
      <w:pPr>
        <w:pStyle w:val="11"/>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p>
    <w:tbl>
      <w:tblPr>
        <w:tblStyle w:val="6"/>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10"/>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总计</w:t>
            </w:r>
          </w:p>
        </w:tc>
        <w:tc>
          <w:tcPr>
            <w:tcW w:w="1667" w:type="pct"/>
            <w:gridSpan w:val="5"/>
            <w:tcBorders>
              <w:top w:val="single" w:color="auto" w:sz="4" w:space="0"/>
              <w:left w:val="single" w:color="auto" w:sz="4" w:space="0"/>
            </w:tcBorders>
            <w:shd w:val="clear" w:color="auto" w:fill="FFFFFF"/>
            <w:vAlign w:val="center"/>
          </w:tcPr>
          <w:p w14:paraId="44DEE3D9">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p>
        </w:tc>
        <w:tc>
          <w:tcPr>
            <w:tcW w:w="329" w:type="pct"/>
            <w:tcBorders>
              <w:top w:val="single" w:color="auto" w:sz="4" w:space="0"/>
              <w:left w:val="single" w:color="auto" w:sz="4" w:space="0"/>
            </w:tcBorders>
            <w:shd w:val="clear" w:color="auto" w:fill="FFFFFF"/>
            <w:vAlign w:val="center"/>
          </w:tcPr>
          <w:p w14:paraId="689673BA">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维持</w:t>
            </w:r>
          </w:p>
        </w:tc>
        <w:tc>
          <w:tcPr>
            <w:tcW w:w="329" w:type="pct"/>
            <w:tcBorders>
              <w:top w:val="single" w:color="auto" w:sz="4" w:space="0"/>
              <w:left w:val="single" w:color="auto" w:sz="4" w:space="0"/>
            </w:tcBorders>
            <w:shd w:val="clear" w:color="auto" w:fill="FFFFFF"/>
            <w:vAlign w:val="center"/>
          </w:tcPr>
          <w:p w14:paraId="23CE70FA">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纠正</w:t>
            </w:r>
          </w:p>
        </w:tc>
        <w:tc>
          <w:tcPr>
            <w:tcW w:w="329" w:type="pct"/>
            <w:tcBorders>
              <w:top w:val="single" w:color="auto" w:sz="4" w:space="0"/>
              <w:left w:val="single" w:color="auto" w:sz="4" w:space="0"/>
            </w:tcBorders>
            <w:shd w:val="clear" w:color="auto" w:fill="FFFFFF"/>
            <w:vAlign w:val="center"/>
          </w:tcPr>
          <w:p w14:paraId="7A49F8F8">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其他 结果</w:t>
            </w:r>
          </w:p>
        </w:tc>
        <w:tc>
          <w:tcPr>
            <w:tcW w:w="329" w:type="pct"/>
            <w:tcBorders>
              <w:top w:val="single" w:color="auto" w:sz="4" w:space="0"/>
              <w:left w:val="single" w:color="auto" w:sz="4" w:space="0"/>
            </w:tcBorders>
            <w:shd w:val="clear" w:color="auto" w:fill="FFFFFF"/>
            <w:vAlign w:val="center"/>
          </w:tcPr>
          <w:p w14:paraId="14A68D93">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尚未 审结</w:t>
            </w:r>
          </w:p>
        </w:tc>
        <w:tc>
          <w:tcPr>
            <w:tcW w:w="351" w:type="pct"/>
            <w:tcBorders>
              <w:top w:val="single" w:color="auto" w:sz="4" w:space="0"/>
              <w:left w:val="single" w:color="auto" w:sz="4" w:space="0"/>
            </w:tcBorders>
            <w:shd w:val="clear" w:color="auto" w:fill="FFFFFF"/>
            <w:textDirection w:val="tbRlV"/>
          </w:tcPr>
          <w:p w14:paraId="0FA551A1">
            <w:pPr>
              <w:pStyle w:val="10"/>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总计</w:t>
            </w:r>
          </w:p>
        </w:tc>
        <w:tc>
          <w:tcPr>
            <w:tcW w:w="329" w:type="pct"/>
            <w:tcBorders>
              <w:top w:val="single" w:color="auto" w:sz="4" w:space="0"/>
              <w:left w:val="single" w:color="auto" w:sz="4" w:space="0"/>
            </w:tcBorders>
            <w:shd w:val="clear" w:color="auto" w:fill="FFFFFF"/>
            <w:vAlign w:val="center"/>
          </w:tcPr>
          <w:p w14:paraId="1F1989DD">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维持</w:t>
            </w:r>
          </w:p>
        </w:tc>
        <w:tc>
          <w:tcPr>
            <w:tcW w:w="329" w:type="pct"/>
            <w:tcBorders>
              <w:top w:val="single" w:color="auto" w:sz="4" w:space="0"/>
              <w:left w:val="single" w:color="auto" w:sz="4" w:space="0"/>
            </w:tcBorders>
            <w:shd w:val="clear" w:color="auto" w:fill="FFFFFF"/>
            <w:vAlign w:val="center"/>
          </w:tcPr>
          <w:p w14:paraId="287E52C3">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纠正</w:t>
            </w:r>
          </w:p>
        </w:tc>
        <w:tc>
          <w:tcPr>
            <w:tcW w:w="329" w:type="pct"/>
            <w:tcBorders>
              <w:top w:val="single" w:color="auto" w:sz="4" w:space="0"/>
              <w:left w:val="single" w:color="auto" w:sz="4" w:space="0"/>
            </w:tcBorders>
            <w:shd w:val="clear" w:color="auto" w:fill="FFFFFF"/>
            <w:vAlign w:val="center"/>
          </w:tcPr>
          <w:p w14:paraId="09AA3892">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其他 结果</w:t>
            </w:r>
          </w:p>
        </w:tc>
        <w:tc>
          <w:tcPr>
            <w:tcW w:w="329" w:type="pct"/>
            <w:tcBorders>
              <w:top w:val="single" w:color="auto" w:sz="4" w:space="0"/>
              <w:left w:val="single" w:color="auto" w:sz="4" w:space="0"/>
            </w:tcBorders>
            <w:shd w:val="clear" w:color="auto" w:fill="FFFFFF"/>
            <w:vAlign w:val="center"/>
          </w:tcPr>
          <w:p w14:paraId="093F2392">
            <w:pPr>
              <w:pStyle w:val="12"/>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10"/>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3</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3</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bCs w:val="0"/>
                <w:color w:val="000000" w:themeColor="text1"/>
                <w:sz w:val="28"/>
                <w:szCs w:val="28"/>
                <w:lang w:val="en-US" w:eastAsia="zh-CN"/>
                <w14:textFill>
                  <w14:solidFill>
                    <w14:schemeClr w14:val="tx1"/>
                  </w14:solidFill>
                </w14:textFill>
              </w:rPr>
            </w:pPr>
            <w:r>
              <w:rPr>
                <w:rFonts w:hint="eastAsia" w:eastAsia="宋体" w:cs="Times New Roman"/>
                <w:b w:val="0"/>
                <w:bCs w:val="0"/>
                <w:color w:val="000000" w:themeColor="text1"/>
                <w:sz w:val="28"/>
                <w:szCs w:val="28"/>
                <w:lang w:val="en-US" w:eastAsia="zh-CN"/>
                <w14:textFill>
                  <w14:solidFill>
                    <w14:schemeClr w14:val="tx1"/>
                  </w14:solidFill>
                </w14:textFill>
              </w:rPr>
              <w:t>0</w:t>
            </w:r>
          </w:p>
        </w:tc>
      </w:tr>
    </w:tbl>
    <w:p w14:paraId="4C42B7E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t>五、</w:t>
      </w:r>
      <w:r>
        <w:rPr>
          <w:rFonts w:hint="default" w:ascii="Times New Roman" w:hAnsi="Times New Roman" w:eastAsia="黑体" w:cs="Times New Roman"/>
          <w:b w:val="0"/>
          <w:bCs w:val="0"/>
          <w:color w:val="000000" w:themeColor="text1"/>
          <w:sz w:val="32"/>
          <w:szCs w:val="32"/>
          <w:lang w:eastAsia="zh-CN" w:bidi="ar-SA"/>
          <w14:textFill>
            <w14:solidFill>
              <w14:schemeClr w14:val="tx1"/>
            </w14:solidFill>
          </w14:textFill>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t>（一）2024年存在问题整改情况</w:t>
      </w:r>
    </w:p>
    <w:p w14:paraId="3E3DC5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一是</w:t>
      </w:r>
      <w:r>
        <w:rPr>
          <w:rFonts w:hint="eastAsia" w:ascii="仿宋_GB2312" w:hAnsi="仿宋_GB2312" w:eastAsia="仿宋_GB2312" w:cs="仿宋_GB2312"/>
          <w:b w:val="0"/>
          <w:bCs w:val="0"/>
          <w:color w:val="000000" w:themeColor="text1"/>
          <w:sz w:val="32"/>
          <w:szCs w:val="32"/>
          <w14:textFill>
            <w14:solidFill>
              <w14:schemeClr w14:val="tx1"/>
            </w14:solidFill>
          </w14:textFill>
        </w:rPr>
        <w:t>建立时限机制，提升公开时效</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制定《市中区民政局政务公开和新媒体平台信息发布制度》，明确各类政务信息公开时限标准。优化内部审核流转流程，设立专人负责，对超时未公开事项及时提醒。</w:t>
      </w:r>
    </w:p>
    <w:p w14:paraId="7351ED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14:textFill>
            <w14:solidFill>
              <w14:schemeClr w14:val="tx1"/>
            </w14:solidFill>
          </w14:textFill>
        </w:rPr>
        <w:t>规范公开内容，强化解读回应</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统一信息公开核心要素，确保内容完整、表述清晰。畅通政务服务热线、网站留言板等互动渠道，对公众疑问及时予以答复，提升信息可读性和实用性。</w:t>
      </w:r>
    </w:p>
    <w:p w14:paraId="508400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b w:val="0"/>
          <w:bCs w:val="0"/>
          <w:color w:val="000000" w:themeColor="text1"/>
          <w:sz w:val="32"/>
          <w:szCs w:val="32"/>
          <w14:textFill>
            <w14:solidFill>
              <w14:schemeClr w14:val="tx1"/>
            </w14:solidFill>
          </w14:textFill>
        </w:rPr>
        <w:t>拓宽公开渠道，提升获取便捷度</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构建“线上+线下”公开矩阵，线上优化政府网站、微信公众号等平台功能，线下在政务服务大厅设置查询专区。通过社区公告、窗口告知等方式宣传获取渠道，定期收集公众意见优化服务，让公众便捷获取公开信息。</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t>（二）2025年存在问题</w:t>
      </w:r>
    </w:p>
    <w:p w14:paraId="317440EF">
      <w:pPr>
        <w:keepNext w:val="0"/>
        <w:keepLines w:val="0"/>
        <w:widowControl/>
        <w:suppressLineNumbers w:val="0"/>
        <w:ind w:firstLine="640" w:firstLineChars="200"/>
        <w:jc w:val="left"/>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一是政策解读通俗化程度不足。对社会救助政策调整、养老服务新规等民生相关政策，解读形式多为文字说明，缺乏案例分析、图文图解、视频讲解等通俗化形式，专业术语使用较多，老年人、文化程度较低等群体理解困难，政策知晓率和理解度偏低。</w:t>
      </w:r>
    </w:p>
    <w:p w14:paraId="6F966EEC">
      <w:pPr>
        <w:keepNext w:val="0"/>
        <w:keepLines w:val="0"/>
        <w:widowControl/>
        <w:suppressLineNumbers w:val="0"/>
        <w:ind w:firstLine="640" w:firstLineChars="200"/>
        <w:jc w:val="left"/>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二是公开内容民生针对性薄弱。公开信息多聚焦宏观工作部署，对群众高频关切的低保申领、养老服务补贴、殡葬服务规范等民生事项，公开内容笼统简略，缺乏具体操作细节、材料清单、办理时限等核心要素，导致公众难以快速获取关键诉求信息。</w:t>
      </w:r>
    </w:p>
    <w:p w14:paraId="2697AD53">
      <w:pPr>
        <w:keepNext w:val="0"/>
        <w:keepLines w:val="0"/>
        <w:widowControl/>
        <w:suppressLineNumbers w:val="0"/>
        <w:ind w:firstLine="640" w:firstLineChars="200"/>
        <w:jc w:val="left"/>
        <w:rPr>
          <w:rFonts w:hint="default"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三是特殊群体获取渠道适配性差。公开信息主要以线上网页、文字形式呈现，未充分考虑老年人、残疾人等特殊群体需求，缺乏大字版手册、语音播报、线下专人协助等适配服务，导致特殊群体获取政务信息存在障碍。</w:t>
      </w:r>
    </w:p>
    <w:p w14:paraId="34C18A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eastAsia="zh-CN" w:bidi="ar-SA"/>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t>（三）改进措施</w:t>
      </w:r>
    </w:p>
    <w:p w14:paraId="49F90F29">
      <w:pPr>
        <w:keepNext w:val="0"/>
        <w:keepLines w:val="0"/>
        <w:widowControl/>
        <w:suppressLineNumbers w:val="0"/>
        <w:ind w:firstLine="640" w:firstLineChars="200"/>
        <w:jc w:val="left"/>
        <w:rPr>
          <w:rFonts w:hint="default"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一是</w:t>
      </w:r>
      <w:r>
        <w:rPr>
          <w:rFonts w:hint="default"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丰富解读形式，提升政策传播</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实效。</w:t>
      </w:r>
      <w:r>
        <w:rPr>
          <w:rFonts w:hint="default"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构建“文字+图文+视频+案例”多维解读体系，对重大政策同步制作“一图读懂”图解和短视频解读；</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线下</w:t>
      </w:r>
      <w:r>
        <w:rPr>
          <w:rFonts w:hint="default"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通过“政务开放日”“</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集中帮办日</w:t>
      </w:r>
      <w:r>
        <w:rPr>
          <w:rFonts w:hint="default"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”等形式开展面对面解读；线上开设“民政政策微课堂”，形成“发布—解读—互动”闭环。</w:t>
      </w:r>
    </w:p>
    <w:p w14:paraId="279FD4B3">
      <w:pPr>
        <w:keepNext w:val="0"/>
        <w:keepLines w:val="0"/>
        <w:widowControl/>
        <w:suppressLineNumbers w:val="0"/>
        <w:ind w:firstLine="640" w:firstLineChars="200"/>
        <w:jc w:val="left"/>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二是精准聚焦民生需求，优化公开内容供给。梳理群众咨询热点，建立“民生重点事项清单”，涵盖社会救助、养老服务等核心事项，明确每项事项的公开要素，编制分场景便民指南，采用图文结合形式细化操作流程。</w:t>
      </w:r>
    </w:p>
    <w:p w14:paraId="4E6BE87C">
      <w:pPr>
        <w:keepNext w:val="0"/>
        <w:keepLines w:val="0"/>
        <w:widowControl/>
        <w:suppressLineNumbers w:val="0"/>
        <w:ind w:firstLine="640" w:firstLineChars="200"/>
        <w:jc w:val="left"/>
        <w:rPr>
          <w:rFonts w:hint="default" w:ascii="Times New Roman" w:hAnsi="Times New Roman" w:eastAsia="黑体" w:cs="Times New Roman"/>
          <w:b w:val="0"/>
          <w:bCs w:val="0"/>
          <w:color w:val="000000" w:themeColor="text1"/>
          <w:sz w:val="32"/>
          <w:szCs w:val="32"/>
          <w:lang w:val="en-US" w:eastAsia="zh-CN" w:bidi="zh-TW"/>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三是优化适配服务，保障特殊群体获取权益。线下在政务服务大厅、社区服务中心设立便民服务点，线上优化平台功能，联合社区、养老机构等定向推送适配信息，拓宽特殊群体获取渠道。</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b w:val="0"/>
          <w:bCs w:val="0"/>
          <w:color w:val="000000" w:themeColor="text1"/>
          <w:sz w:val="32"/>
          <w:szCs w:val="32"/>
          <w:lang w:eastAsia="zh-CN" w:bidi="zh-TW"/>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zh-TW"/>
          <w14:textFill>
            <w14:solidFill>
              <w14:schemeClr w14:val="tx1"/>
            </w14:solidFill>
          </w14:textFill>
        </w:rPr>
        <w:t>六、</w:t>
      </w:r>
      <w:r>
        <w:rPr>
          <w:rFonts w:hint="default" w:ascii="Times New Roman" w:hAnsi="Times New Roman" w:eastAsia="黑体" w:cs="Times New Roman"/>
          <w:b w:val="0"/>
          <w:bCs w:val="0"/>
          <w:color w:val="000000" w:themeColor="text1"/>
          <w:sz w:val="32"/>
          <w:szCs w:val="32"/>
          <w:lang w:eastAsia="zh-CN" w:bidi="zh-TW"/>
          <w14:textFill>
            <w14:solidFill>
              <w14:schemeClr w14:val="tx1"/>
            </w14:solidFill>
          </w14:textFill>
        </w:rPr>
        <w:t>其他需要报告的事项</w:t>
      </w:r>
    </w:p>
    <w:p w14:paraId="508BB5C4">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b/>
          <w:bCs/>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（一）收取信息处理费的情况</w:t>
      </w:r>
    </w:p>
    <w:p w14:paraId="316BF9D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本年度依申请公开政府信息未收取任何费用。</w:t>
      </w:r>
    </w:p>
    <w:p w14:paraId="35F1F67E">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（二）落实上级年度政务公开工作要点情况</w:t>
      </w:r>
    </w:p>
    <w:p w14:paraId="5EF20FD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围绕重点领域信息公开、政策发布解读与回应、政民互动、基层政务公开标准化规范化建设和工作保障和落实逐项明确责任主体。</w:t>
      </w:r>
    </w:p>
    <w:p w14:paraId="23595C9B">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（三）人大代表建议和政协委员提案办理情况</w:t>
      </w:r>
    </w:p>
    <w:p w14:paraId="30003CA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w:t>
      </w:r>
      <w:r>
        <w:rPr>
          <w:rFonts w:hint="eastAsia" w:eastAsia="仿宋_GB2312"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年，区民政局共承办区人大代表建议</w:t>
      </w:r>
      <w:r>
        <w:rPr>
          <w:rFonts w:hint="eastAsia" w:eastAsia="仿宋_GB2312"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件，其中主办2件，协办3件</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办复率100%；承办区政协提案</w:t>
      </w:r>
      <w:r>
        <w:rPr>
          <w:rFonts w:hint="eastAsia"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件，主办3件</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办复率100%。办理结果已在市中区人民政府网站公开。</w:t>
      </w:r>
    </w:p>
    <w:p w14:paraId="76FE6F0F">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（四）本行政机关年度政务公开工作创新情况</w:t>
      </w:r>
    </w:p>
    <w:p w14:paraId="1EA2E80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一是</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强化组织保障，压实工作责任</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适时调整局政务公开工作领导小组，明确两名工作人员互为AB角，确保政务公开工作有人抓、有人管，推动责任落地见效。</w:t>
      </w:r>
    </w:p>
    <w:p w14:paraId="1B8577B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二是</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优化公开流程，提升服务精准度</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出台《市中区民政局政务公开和新媒体平台信息发布制度》，</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规范行政信息公开管理，优化公开流程，强化民政领域精准化服务供给。</w:t>
      </w:r>
    </w:p>
    <w:p w14:paraId="314C821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三是</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拓宽宣传渠道，保障知情权益</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依托“枣庄市中民政”微信公众号，常态化推送政府信息，加大政务公开工作推广力度，切实保障公众知情权。</w:t>
      </w:r>
    </w:p>
    <w:p w14:paraId="300344B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四是</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开展开放活动，增强公开实效</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举办“</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政府开放月</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”活动，邀请群众代表、媒体走进民政服务机构，实地观摩业务流程，现场解读政策、答疑解惑，提升政务公开公信力。</w:t>
      </w:r>
    </w:p>
    <w:p w14:paraId="6A28255E">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（五）其他需要报告事项</w:t>
      </w:r>
    </w:p>
    <w:p w14:paraId="31FBD98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无。</w:t>
      </w:r>
    </w:p>
    <w:p w14:paraId="7C3E4AD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本报告所列数据的统计时限自202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年1月1日</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起</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至202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年12月31日</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止</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。如对本报告有疑问，可与</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区民政局</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联系（地址</w:t>
      </w:r>
      <w:r>
        <w:rPr>
          <w:rFonts w:hint="eastAsia"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枣庄市市中区</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胜利中路16号，邮编：</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277100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，电话：</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0632-3319059</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电子邮箱：</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fldChar w:fldCharType="begin"/>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instrText xml:space="preserve"> HYPERLINK "mailto:htqzfzwgkk@wf.shandong.cn%E3%80%82" </w:instrTex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fldChar w:fldCharType="separate"/>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zzsszqmzjadmin@zz.shandong.cn</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fldChar w:fldCharType="end"/>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p>
    <w:p w14:paraId="3B0CF269">
      <w:pPr>
        <w:keepNext w:val="0"/>
        <w:keepLines w:val="0"/>
        <w:pageBreakBefore w:val="0"/>
        <w:widowControl/>
        <w:kinsoku/>
        <w:wordWrap/>
        <w:overflowPunct/>
        <w:topLinePunct w:val="0"/>
        <w:autoSpaceDE/>
        <w:autoSpaceDN/>
        <w:bidi w:val="0"/>
        <w:adjustRightInd/>
        <w:snapToGrid/>
        <w:spacing w:line="560" w:lineRule="exact"/>
        <w:contextualSpacing/>
        <w:jc w:val="both"/>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p>
    <w:p w14:paraId="6E98003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市中区民政局</w:t>
      </w:r>
    </w:p>
    <w:p w14:paraId="6E7026B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cs="Times New Roman" w:eastAsiaTheme="minorEastAsia"/>
          <w:b w:val="0"/>
          <w:bCs w:val="0"/>
          <w:color w:val="000000" w:themeColor="text1"/>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202</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年1月</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12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日</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087931-E0CA-4BE0-BB0D-5D08CE1276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7E941D8-3BAD-4830-A1E9-E7DD33A4F47D}"/>
  </w:font>
  <w:font w:name="仿宋_GB2312">
    <w:panose1 w:val="02010609030101010101"/>
    <w:charset w:val="86"/>
    <w:family w:val="modern"/>
    <w:pitch w:val="default"/>
    <w:sig w:usb0="00000001" w:usb1="080E0000" w:usb2="00000000" w:usb3="00000000" w:csb0="00040000" w:csb1="00000000"/>
    <w:embedRegular r:id="rId3" w:fontKey="{1E0B21F7-2E3E-4AF7-BF8A-283502F516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4"/>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4"/>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60D28"/>
    <w:rsid w:val="08F30F9E"/>
    <w:rsid w:val="0A3E1141"/>
    <w:rsid w:val="0B8F2AB2"/>
    <w:rsid w:val="0D426B65"/>
    <w:rsid w:val="0DB7343A"/>
    <w:rsid w:val="101A475B"/>
    <w:rsid w:val="15E57946"/>
    <w:rsid w:val="1AAF71B2"/>
    <w:rsid w:val="1B4D379A"/>
    <w:rsid w:val="1D276D79"/>
    <w:rsid w:val="1DC53412"/>
    <w:rsid w:val="1FD24907"/>
    <w:rsid w:val="2007106B"/>
    <w:rsid w:val="227F4F5F"/>
    <w:rsid w:val="24B65C7B"/>
    <w:rsid w:val="271F6DB2"/>
    <w:rsid w:val="28BE4FD8"/>
    <w:rsid w:val="29A25229"/>
    <w:rsid w:val="2A3246E6"/>
    <w:rsid w:val="2A366FA5"/>
    <w:rsid w:val="2A6E4A40"/>
    <w:rsid w:val="2B247393"/>
    <w:rsid w:val="2B7E7F7A"/>
    <w:rsid w:val="2E356016"/>
    <w:rsid w:val="34C27E73"/>
    <w:rsid w:val="372B44B7"/>
    <w:rsid w:val="37DD4F2A"/>
    <w:rsid w:val="3CA63654"/>
    <w:rsid w:val="424E6C95"/>
    <w:rsid w:val="42962A0C"/>
    <w:rsid w:val="43677CBB"/>
    <w:rsid w:val="43F955DA"/>
    <w:rsid w:val="46001285"/>
    <w:rsid w:val="4A263FB9"/>
    <w:rsid w:val="4BE16E0F"/>
    <w:rsid w:val="4F1B009D"/>
    <w:rsid w:val="4FCD042A"/>
    <w:rsid w:val="50F11EF6"/>
    <w:rsid w:val="53514031"/>
    <w:rsid w:val="56BC4C21"/>
    <w:rsid w:val="56C8194B"/>
    <w:rsid w:val="58943E35"/>
    <w:rsid w:val="5A891C07"/>
    <w:rsid w:val="5AE6494C"/>
    <w:rsid w:val="5CBB219C"/>
    <w:rsid w:val="5E6D3270"/>
    <w:rsid w:val="5EA95810"/>
    <w:rsid w:val="5F3833E6"/>
    <w:rsid w:val="628D192B"/>
    <w:rsid w:val="62A02DE5"/>
    <w:rsid w:val="62DF0CAC"/>
    <w:rsid w:val="63F024E1"/>
    <w:rsid w:val="64490C92"/>
    <w:rsid w:val="683119D5"/>
    <w:rsid w:val="699619EE"/>
    <w:rsid w:val="6A2904FB"/>
    <w:rsid w:val="6CCF664D"/>
    <w:rsid w:val="6E4C3FF9"/>
    <w:rsid w:val="6EC52406"/>
    <w:rsid w:val="71080E6A"/>
    <w:rsid w:val="716632E1"/>
    <w:rsid w:val="71742F46"/>
    <w:rsid w:val="72BB477E"/>
    <w:rsid w:val="743334DA"/>
    <w:rsid w:val="754C48A1"/>
    <w:rsid w:val="79390A27"/>
    <w:rsid w:val="797F1EE5"/>
    <w:rsid w:val="7CC55E61"/>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Normal (Web)"/>
    <w:basedOn w:val="1"/>
    <w:unhideWhenUsed/>
    <w:qFormat/>
    <w:uiPriority w:val="99"/>
    <w:pPr>
      <w:widowControl/>
      <w:spacing w:before="100" w:beforeAutospacing="1" w:after="100" w:afterAutospacing="1"/>
    </w:pPr>
    <w:rPr>
      <w:rFonts w:ascii="宋体" w:hAnsi="宋体" w:cs="宋体"/>
    </w:rPr>
  </w:style>
  <w:style w:type="character" w:styleId="8">
    <w:name w:val="Hyperlink"/>
    <w:basedOn w:val="7"/>
    <w:semiHidden/>
    <w:unhideWhenUsed/>
    <w:qFormat/>
    <w:uiPriority w:val="99"/>
    <w:rPr>
      <w:color w:val="0000FF"/>
      <w:u w:val="single"/>
    </w:rPr>
  </w:style>
  <w:style w:type="paragraph" w:customStyle="1" w:styleId="9">
    <w:name w:val="Header or footer|1"/>
    <w:basedOn w:val="1"/>
    <w:qFormat/>
    <w:uiPriority w:val="0"/>
    <w:rPr>
      <w:sz w:val="26"/>
      <w:szCs w:val="26"/>
      <w:lang w:val="zh-TW" w:eastAsia="zh-TW" w:bidi="zh-TW"/>
    </w:rPr>
  </w:style>
  <w:style w:type="paragraph" w:customStyle="1" w:styleId="10">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1">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2">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0c0b6cdb-917d-4bfb-8d8f-6ff7314dc23e</errorID>
      <errorWord>《</errorWord>
      <group>L1_Punc</group>
      <groupName>标点问题</groupName>
      <ability>L2_Punc</ability>
      <abilityName>标点符号检查</abilityName>
      <candidateList/>
      <explain>同一形式括号套用。</explain>
      <paraID>6482A660</paraID>
      <start>42</start>
      <end>43</end>
      <status>unmodified</status>
      <modifiedWord/>
      <trackRevisions>false</trackRevisions>
    </reviewItem>
    <reviewItem>
      <errorID>af3b2e48-d21f-451a-8e37-bf69ca82c35c</errorID>
      <errorWord>》</errorWord>
      <group>L1_Punc</group>
      <groupName>标点问题</groupName>
      <ability>L2_Punc</ability>
      <abilityName>标点符号检查</abilityName>
      <candidateList/>
      <explain>同一形式括号套用。</explain>
      <paraID>6482A660</paraID>
      <start>64</start>
      <end>65</end>
      <status>unmodified</status>
      <modifiedWord/>
      <trackRevisions>false</trackRevisions>
    </reviewItem>
    <reviewItem>
      <errorID>875c19e5-f3fd-420f-a922-d057c0672171</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29d24c5a-62da-4708-b2c3-1c57135c4493</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d3bc61-f1a8-4aa2-b2cf-58f0433a4985}">
  <ds:schemaRefs/>
</ds:datastoreItem>
</file>

<file path=docProps/app.xml><?xml version="1.0" encoding="utf-8"?>
<Properties xmlns="http://schemas.openxmlformats.org/officeDocument/2006/extended-properties" xmlns:vt="http://schemas.openxmlformats.org/officeDocument/2006/docPropsVTypes">
  <Template>Normal</Template>
  <Pages>9</Pages>
  <Words>2254</Words>
  <Characters>2377</Characters>
  <Lines>53</Lines>
  <Paragraphs>15</Paragraphs>
  <TotalTime>23</TotalTime>
  <ScaleCrop>false</ScaleCrop>
  <LinksUpToDate>false</LinksUpToDate>
  <CharactersWithSpaces>2382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2026-01-29T07:31:36Z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FF8E5E3020C2447DAFECF543822ADDA7_13</vt:lpwstr>
  </property>
</Properties>
</file>