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4"/>
          <w:szCs w:val="44"/>
          <w:highlight w:val="none"/>
          <w:shd w:val="clear" w:fill="FFFFFF"/>
        </w:rPr>
      </w:pPr>
      <w:r>
        <w:rPr>
          <w:rFonts w:hint="eastAsia" w:ascii="方正小标宋简体" w:hAnsi="方正小标宋简体" w:eastAsia="方正小标宋简体" w:cs="方正小标宋简体"/>
          <w:b w:val="0"/>
          <w:bCs w:val="0"/>
          <w:i w:val="0"/>
          <w:iCs w:val="0"/>
          <w:caps w:val="0"/>
          <w:spacing w:val="8"/>
          <w:sz w:val="44"/>
          <w:szCs w:val="44"/>
          <w:highlight w:val="none"/>
          <w:shd w:val="clear" w:fill="FFFFFF"/>
          <w:lang w:val="en-US" w:eastAsia="zh-CN"/>
        </w:rPr>
        <w:t>建安区</w:t>
      </w:r>
      <w:r>
        <w:rPr>
          <w:rFonts w:hint="eastAsia" w:ascii="方正小标宋简体" w:hAnsi="方正小标宋简体" w:eastAsia="方正小标宋简体" w:cs="方正小标宋简体"/>
          <w:b w:val="0"/>
          <w:bCs w:val="0"/>
          <w:i w:val="0"/>
          <w:iCs w:val="0"/>
          <w:caps w:val="0"/>
          <w:spacing w:val="8"/>
          <w:sz w:val="44"/>
          <w:szCs w:val="44"/>
          <w:highlight w:val="none"/>
          <w:shd w:val="clear" w:fill="FFFFFF"/>
        </w:rPr>
        <w:t>召开</w:t>
      </w:r>
      <w:r>
        <w:rPr>
          <w:rFonts w:hint="eastAsia" w:ascii="方正小标宋简体" w:hAnsi="方正小标宋简体" w:eastAsia="方正小标宋简体" w:cs="方正小标宋简体"/>
          <w:b w:val="0"/>
          <w:bCs w:val="0"/>
          <w:i w:val="0"/>
          <w:iCs w:val="0"/>
          <w:caps w:val="0"/>
          <w:spacing w:val="8"/>
          <w:sz w:val="44"/>
          <w:szCs w:val="44"/>
          <w:highlight w:val="none"/>
          <w:shd w:val="clear" w:fill="FFFFFF"/>
          <w:lang w:val="en-US" w:eastAsia="zh-CN"/>
        </w:rPr>
        <w:t>全区安全生产及</w:t>
      </w:r>
      <w:r>
        <w:rPr>
          <w:rFonts w:hint="eastAsia" w:ascii="方正小标宋简体" w:hAnsi="方正小标宋简体" w:eastAsia="方正小标宋简体" w:cs="方正小标宋简体"/>
          <w:b w:val="0"/>
          <w:bCs w:val="0"/>
          <w:i w:val="0"/>
          <w:iCs w:val="0"/>
          <w:caps w:val="0"/>
          <w:spacing w:val="8"/>
          <w:sz w:val="44"/>
          <w:szCs w:val="44"/>
          <w:highlight w:val="none"/>
          <w:shd w:val="clear" w:fill="FFFFFF"/>
        </w:rPr>
        <w:t>应急管理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2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4"/>
          <w:szCs w:val="44"/>
          <w:highlight w:val="none"/>
        </w:rPr>
      </w:pPr>
      <w:r>
        <w:rPr>
          <w:rFonts w:hint="eastAsia" w:ascii="方正小标宋简体" w:hAnsi="方正小标宋简体" w:eastAsia="方正小标宋简体" w:cs="方正小标宋简体"/>
          <w:b w:val="0"/>
          <w:bCs w:val="0"/>
          <w:i w:val="0"/>
          <w:iCs w:val="0"/>
          <w:caps w:val="0"/>
          <w:spacing w:val="8"/>
          <w:sz w:val="44"/>
          <w:szCs w:val="44"/>
          <w:highlight w:val="none"/>
          <w:shd w:val="clear" w:fill="FFFFFF"/>
        </w:rPr>
        <w:t>工作情况新闻发布会</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iCs w:val="0"/>
          <w:caps w:val="0"/>
          <w:spacing w:val="0"/>
          <w:sz w:val="32"/>
          <w:szCs w:val="32"/>
          <w:highlight w:val="none"/>
          <w:shd w:val="clear" w:fill="FFFFFF"/>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5月31日，建安区人民政府新闻办公室组织召开2023年安全生产及应急管理工作情况新闻发布会，通报了今年以来安全生产和应急管理工作情况。今年1-5月份，全区未发生较大以上生产安全事故，安全生产形势持续稳定向好，为建安区全面贯彻落实二十大精神开局之年营造了良好的安全生产环境。</w:t>
      </w:r>
    </w:p>
    <w:p>
      <w:pPr>
        <w:pStyle w:val="2"/>
        <w:rPr>
          <w:rFonts w:hint="eastAsia"/>
          <w:lang w:val="en-US" w:eastAsia="zh-CN"/>
        </w:rPr>
      </w:pPr>
      <w:r>
        <w:rPr>
          <w:rFonts w:hint="eastAsia" w:ascii="方正小标宋简体" w:hAnsi="方正小标宋简体" w:eastAsia="方正小标宋简体" w:cs="方正小标宋简体"/>
          <w:b w:val="0"/>
          <w:bCs w:val="0"/>
          <w:i w:val="0"/>
          <w:iCs w:val="0"/>
          <w:caps w:val="0"/>
          <w:spacing w:val="8"/>
          <w:sz w:val="44"/>
          <w:szCs w:val="44"/>
          <w:highlight w:val="none"/>
          <w:shd w:val="clear" w:fill="FFFFFF"/>
        </w:rPr>
        <w:drawing>
          <wp:inline distT="0" distB="0" distL="114300" distR="114300">
            <wp:extent cx="5546090" cy="3081655"/>
            <wp:effectExtent l="0" t="0" r="16510" b="4445"/>
            <wp:docPr id="2" name="图片 2" descr="微信图片_20230531164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30531164906"/>
                    <pic:cNvPicPr>
                      <a:picLocks noChangeAspect="1"/>
                    </pic:cNvPicPr>
                  </pic:nvPicPr>
                  <pic:blipFill>
                    <a:blip r:embed="rId5"/>
                    <a:stretch>
                      <a:fillRect/>
                    </a:stretch>
                  </pic:blipFill>
                  <pic:spPr>
                    <a:xfrm>
                      <a:off x="0" y="0"/>
                      <a:ext cx="5546090" cy="3081655"/>
                    </a:xfrm>
                    <a:prstGeom prst="rect">
                      <a:avLst/>
                    </a:prstGeom>
                  </pic:spPr>
                </pic:pic>
              </a:graphicData>
            </a:graphic>
          </wp:inline>
        </w:drawing>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kern w:val="2"/>
          <w:sz w:val="32"/>
          <w:szCs w:val="32"/>
          <w:lang w:val="en-US" w:eastAsia="zh-CN" w:bidi="ar-SA"/>
        </w:rPr>
      </w:pPr>
      <w:r>
        <w:rPr>
          <w:rFonts w:hint="eastAsia" w:ascii="黑体" w:hAnsi="黑体" w:eastAsia="黑体" w:cs="黑体"/>
          <w:b w:val="0"/>
          <w:bCs w:val="0"/>
          <w:color w:val="000000"/>
          <w:kern w:val="2"/>
          <w:sz w:val="32"/>
          <w:szCs w:val="32"/>
          <w:highlight w:val="none"/>
          <w:lang w:val="en-US" w:eastAsia="zh-CN" w:bidi="ar-SA"/>
        </w:rPr>
        <w:t>一、紧盯重点领域，狠抓问题整治</w:t>
      </w:r>
      <w:r>
        <w:rPr>
          <w:rFonts w:hint="eastAsia" w:ascii="楷体_GB2312" w:hAnsi="楷体_GB2312" w:eastAsia="楷体_GB2312" w:cs="楷体_GB2312"/>
          <w:b/>
          <w:bCs/>
          <w:color w:val="000000"/>
          <w:kern w:val="2"/>
          <w:sz w:val="32"/>
          <w:szCs w:val="32"/>
          <w:highlight w:val="none"/>
          <w:lang w:val="en-US" w:eastAsia="zh-CN" w:bidi="ar-SA"/>
        </w:rPr>
        <w:t>。</w:t>
      </w:r>
      <w:r>
        <w:rPr>
          <w:rFonts w:hint="eastAsia" w:ascii="仿宋_GB2312" w:hAnsi="仿宋_GB2312" w:eastAsia="仿宋_GB2312" w:cs="仿宋_GB2312"/>
          <w:color w:val="000000"/>
          <w:kern w:val="2"/>
          <w:sz w:val="32"/>
          <w:szCs w:val="32"/>
          <w:highlight w:val="none"/>
          <w:lang w:val="en-US" w:eastAsia="zh-CN" w:bidi="ar-SA"/>
        </w:rPr>
        <w:t>围绕双节、两会等重点时段，紧盯危险化学品、矿山、道路交通、消防、工贸</w:t>
      </w:r>
      <w:r>
        <w:rPr>
          <w:rFonts w:hint="eastAsia" w:ascii="仿宋_GB2312" w:hAnsi="仿宋_GB2312" w:eastAsia="仿宋_GB2312" w:cs="仿宋_GB2312"/>
          <w:color w:val="000000"/>
          <w:kern w:val="2"/>
          <w:sz w:val="32"/>
          <w:szCs w:val="32"/>
          <w:lang w:val="en-US" w:eastAsia="zh-CN" w:bidi="ar-SA"/>
        </w:rPr>
        <w:t>、城乡建设等重点领域，通过暗访暗查、执法检查等方式，扎实开展安全生产专项整治工作。今年以来，全区排查各类企业单位2095家，整改问题隐患2126项，停产整顿23家，行政处罚13起，查处超载货车29辆、过境危化品运输车4辆，确保了全区安全生产形势持续稳定。</w:t>
      </w:r>
    </w:p>
    <w:p>
      <w:pPr>
        <w:pStyle w:val="4"/>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b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二、坚持问题导向，推进问题整改。</w:t>
      </w:r>
      <w:r>
        <w:rPr>
          <w:rFonts w:hint="eastAsia" w:ascii="仿宋_GB2312" w:hAnsi="仿宋_GB2312" w:eastAsia="仿宋_GB2312" w:cs="仿宋_GB2312"/>
          <w:b w:val="0"/>
          <w:bCs/>
          <w:color w:val="000000"/>
          <w:kern w:val="2"/>
          <w:sz w:val="32"/>
          <w:szCs w:val="32"/>
          <w:lang w:val="en-US" w:eastAsia="zh-CN" w:bidi="ar-SA"/>
        </w:rPr>
        <w:t>2月24日-3月5日，省安委会</w:t>
      </w:r>
      <w:r>
        <w:rPr>
          <w:rFonts w:hint="eastAsia" w:ascii="仿宋_GB2312" w:hAnsi="仿宋_GB2312" w:eastAsia="仿宋_GB2312" w:cs="仿宋_GB2312"/>
          <w:b w:val="0"/>
          <w:color w:val="000000"/>
          <w:kern w:val="2"/>
          <w:sz w:val="32"/>
          <w:szCs w:val="32"/>
          <w:lang w:val="en-US" w:eastAsia="zh-CN" w:bidi="ar-SA"/>
        </w:rPr>
        <w:t>第四考核巡查组考核巡查建安区企业4家、督促检查企业1家，反馈问题隐患32项。按照属地管理和“三管三必须”原则，截止目前，32处问题隐患已全部整改到位。</w:t>
      </w:r>
    </w:p>
    <w:p>
      <w:pPr>
        <w:pStyle w:val="5"/>
        <w:keepNext w:val="0"/>
        <w:keepLines w:val="0"/>
        <w:pageBreakBefore w:val="0"/>
        <w:widowControl w:val="0"/>
        <w:kinsoku/>
        <w:wordWrap/>
        <w:overflowPunct/>
        <w:topLinePunct w:val="0"/>
        <w:autoSpaceDE/>
        <w:autoSpaceDN/>
        <w:bidi w:val="0"/>
        <w:adjustRightInd/>
        <w:snapToGrid/>
        <w:spacing w:after="0" w:afterLines="0" w:line="560" w:lineRule="exact"/>
        <w:ind w:firstLine="640" w:firstLineChars="200"/>
        <w:textAlignment w:val="auto"/>
        <w:rPr>
          <w:rFonts w:hint="default" w:ascii="仿宋_GB2312" w:hAnsi="仿宋_GB2312" w:eastAsia="仿宋_GB2312" w:cs="仿宋_GB2312"/>
          <w:b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三、健全工作机制，开展专项整治。</w:t>
      </w:r>
      <w:r>
        <w:rPr>
          <w:rFonts w:hint="eastAsia" w:ascii="仿宋_GB2312" w:hAnsi="仿宋_GB2312" w:eastAsia="仿宋_GB2312" w:cs="仿宋_GB2312"/>
          <w:b w:val="0"/>
          <w:color w:val="000000"/>
          <w:kern w:val="2"/>
          <w:sz w:val="32"/>
          <w:szCs w:val="32"/>
          <w:lang w:val="en-US" w:eastAsia="zh-CN" w:bidi="ar-SA"/>
        </w:rPr>
        <w:t>扎实推进瓶装液化石油气专项整治，共排查商户、用气单位1011家，存在问题隐患462家，完成整改267家，依法办理倒卖液化石油气案件7起，行政拘留7人，收缴非法液化气罐43个。5月20日，公安机关在桂村乡查封扣押非法经营危险化学品甲醇31.9吨。目前，案件正在进一步办理中。</w:t>
      </w:r>
    </w:p>
    <w:p>
      <w:pPr>
        <w:pStyle w:val="4"/>
        <w:keepNext w:val="0"/>
        <w:keepLines w:val="0"/>
        <w:pageBreakBefore w:val="0"/>
        <w:widowControl/>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四、强化责任措施，做好安全防范。</w:t>
      </w:r>
      <w:r>
        <w:rPr>
          <w:rFonts w:hint="eastAsia" w:ascii="仿宋_GB2312" w:hAnsi="仿宋_GB2312" w:eastAsia="仿宋_GB2312" w:cs="仿宋_GB2312"/>
          <w:b w:val="0"/>
          <w:color w:val="000000"/>
          <w:kern w:val="2"/>
          <w:sz w:val="32"/>
          <w:szCs w:val="32"/>
          <w:lang w:val="en-US" w:eastAsia="zh-CN" w:bidi="ar-SA"/>
        </w:rPr>
        <w:t>区安委办组织暗访暗查组5组19人，检查生产经营单位12家，发现并整改问题隐患28条。区安委会6个专项检查组暗查暗访企业44家，交办整改问题隐患59条。全区各乡镇（街道）有关部门落实日排查日报告零报告制度，共</w:t>
      </w:r>
      <w:r>
        <w:rPr>
          <w:rFonts w:hint="default" w:ascii="仿宋_GB2312" w:hAnsi="仿宋_GB2312" w:eastAsia="仿宋_GB2312" w:cs="仿宋_GB2312"/>
          <w:b w:val="0"/>
          <w:color w:val="000000"/>
          <w:kern w:val="2"/>
          <w:sz w:val="32"/>
          <w:szCs w:val="32"/>
          <w:lang w:val="en-US" w:eastAsia="zh-CN" w:bidi="ar-SA"/>
        </w:rPr>
        <w:t>出</w:t>
      </w:r>
      <w:r>
        <w:rPr>
          <w:rFonts w:hint="eastAsia" w:ascii="仿宋_GB2312" w:hAnsi="仿宋_GB2312" w:eastAsia="仿宋_GB2312" w:cs="仿宋_GB2312"/>
          <w:b w:val="0"/>
          <w:color w:val="000000"/>
          <w:kern w:val="2"/>
          <w:sz w:val="32"/>
          <w:szCs w:val="32"/>
          <w:lang w:val="en-US" w:eastAsia="zh-CN" w:bidi="ar-SA"/>
        </w:rPr>
        <w:t>动检查组</w:t>
      </w:r>
      <w:r>
        <w:rPr>
          <w:rFonts w:hint="default" w:ascii="仿宋_GB2312" w:hAnsi="仿宋_GB2312" w:eastAsia="仿宋_GB2312" w:cs="仿宋_GB2312"/>
          <w:b w:val="0"/>
          <w:color w:val="000000"/>
          <w:kern w:val="2"/>
          <w:sz w:val="32"/>
          <w:szCs w:val="32"/>
          <w:lang w:val="en-US" w:eastAsia="zh-CN" w:bidi="ar-SA"/>
        </w:rPr>
        <w:t>181组531人</w:t>
      </w:r>
      <w:r>
        <w:rPr>
          <w:rFonts w:hint="eastAsia" w:ascii="仿宋_GB2312" w:hAnsi="仿宋_GB2312" w:eastAsia="仿宋_GB2312" w:cs="仿宋_GB2312"/>
          <w:b w:val="0"/>
          <w:color w:val="000000"/>
          <w:kern w:val="2"/>
          <w:sz w:val="32"/>
          <w:szCs w:val="32"/>
          <w:lang w:val="en-US" w:eastAsia="zh-CN" w:bidi="ar-SA"/>
        </w:rPr>
        <w:t>次，</w:t>
      </w:r>
      <w:r>
        <w:rPr>
          <w:rFonts w:hint="default" w:ascii="仿宋_GB2312" w:hAnsi="仿宋_GB2312" w:eastAsia="仿宋_GB2312" w:cs="仿宋_GB2312"/>
          <w:b w:val="0"/>
          <w:color w:val="000000"/>
          <w:kern w:val="2"/>
          <w:sz w:val="32"/>
          <w:szCs w:val="32"/>
          <w:lang w:val="en-US" w:eastAsia="zh-CN" w:bidi="ar-SA"/>
        </w:rPr>
        <w:t>检查企业394家</w:t>
      </w:r>
      <w:r>
        <w:rPr>
          <w:rFonts w:hint="eastAsia" w:ascii="仿宋_GB2312" w:hAnsi="仿宋_GB2312" w:eastAsia="仿宋_GB2312" w:cs="仿宋_GB2312"/>
          <w:b w:val="0"/>
          <w:color w:val="000000"/>
          <w:kern w:val="2"/>
          <w:sz w:val="32"/>
          <w:szCs w:val="32"/>
          <w:lang w:val="en-US" w:eastAsia="zh-CN" w:bidi="ar-SA"/>
        </w:rPr>
        <w:t>，</w:t>
      </w:r>
      <w:r>
        <w:rPr>
          <w:rFonts w:hint="default" w:ascii="仿宋_GB2312" w:hAnsi="仿宋_GB2312" w:eastAsia="仿宋_GB2312" w:cs="仿宋_GB2312"/>
          <w:b w:val="0"/>
          <w:color w:val="000000"/>
          <w:kern w:val="2"/>
          <w:sz w:val="32"/>
          <w:szCs w:val="32"/>
          <w:lang w:val="en-US" w:eastAsia="zh-CN" w:bidi="ar-SA"/>
        </w:rPr>
        <w:t>发现</w:t>
      </w:r>
      <w:r>
        <w:rPr>
          <w:rFonts w:hint="eastAsia" w:ascii="仿宋_GB2312" w:hAnsi="仿宋_GB2312" w:eastAsia="仿宋_GB2312" w:cs="仿宋_GB2312"/>
          <w:b w:val="0"/>
          <w:color w:val="000000"/>
          <w:kern w:val="2"/>
          <w:sz w:val="32"/>
          <w:szCs w:val="32"/>
          <w:lang w:val="en-US" w:eastAsia="zh-CN" w:bidi="ar-SA"/>
        </w:rPr>
        <w:t>并整改</w:t>
      </w:r>
      <w:r>
        <w:rPr>
          <w:rFonts w:hint="default" w:ascii="仿宋_GB2312" w:hAnsi="仿宋_GB2312" w:eastAsia="仿宋_GB2312" w:cs="仿宋_GB2312"/>
          <w:b w:val="0"/>
          <w:color w:val="000000"/>
          <w:kern w:val="2"/>
          <w:sz w:val="32"/>
          <w:szCs w:val="32"/>
          <w:lang w:val="en-US" w:eastAsia="zh-CN" w:bidi="ar-SA"/>
        </w:rPr>
        <w:t>问题359</w:t>
      </w:r>
      <w:r>
        <w:rPr>
          <w:rFonts w:hint="eastAsia" w:ascii="仿宋_GB2312" w:hAnsi="仿宋_GB2312" w:eastAsia="仿宋_GB2312" w:cs="仿宋_GB2312"/>
          <w:b w:val="0"/>
          <w:color w:val="000000"/>
          <w:kern w:val="2"/>
          <w:sz w:val="32"/>
          <w:szCs w:val="32"/>
          <w:lang w:val="en-US" w:eastAsia="zh-CN" w:bidi="ar-SA"/>
        </w:rPr>
        <w:t>项。</w:t>
      </w:r>
    </w:p>
    <w:p>
      <w:pPr>
        <w:pStyle w:val="5"/>
        <w:keepNext w:val="0"/>
        <w:keepLines w:val="0"/>
        <w:pageBreakBefore w:val="0"/>
        <w:kinsoku/>
        <w:wordWrap/>
        <w:overflowPunct/>
        <w:topLinePunct w:val="0"/>
        <w:autoSpaceDE/>
        <w:autoSpaceDN/>
        <w:bidi w:val="0"/>
        <w:spacing w:after="0" w:afterLines="0" w:line="560" w:lineRule="exact"/>
        <w:ind w:firstLine="640" w:firstLineChars="200"/>
        <w:textAlignment w:val="auto"/>
        <w:rPr>
          <w:rFonts w:hint="default" w:ascii="黑体" w:hAnsi="黑体" w:eastAsia="黑体" w:cs="黑体"/>
          <w:b w:val="0"/>
          <w:bCs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五、完善队伍建设，开展防汛演练</w:t>
      </w:r>
    </w:p>
    <w:p>
      <w:pPr>
        <w:pStyle w:val="5"/>
        <w:keepNext w:val="0"/>
        <w:keepLines w:val="0"/>
        <w:pageBreakBefore w:val="0"/>
        <w:kinsoku/>
        <w:wordWrap/>
        <w:overflowPunct/>
        <w:topLinePunct w:val="0"/>
        <w:autoSpaceDE/>
        <w:autoSpaceDN/>
        <w:bidi w:val="0"/>
        <w:spacing w:after="0" w:afterLines="0" w:line="560" w:lineRule="exact"/>
        <w:ind w:firstLine="640" w:firstLineChars="200"/>
        <w:textAlignment w:val="auto"/>
        <w:rPr>
          <w:rFonts w:hint="eastAsia" w:ascii="黑体" w:hAnsi="黑体" w:eastAsia="黑体" w:cs="黑体"/>
          <w:b w:val="0"/>
          <w:bCs w:val="0"/>
          <w:color w:val="000000"/>
          <w:kern w:val="2"/>
          <w:sz w:val="32"/>
          <w:szCs w:val="32"/>
          <w:lang w:val="en-US" w:eastAsia="zh-CN" w:bidi="ar-SA"/>
        </w:rPr>
      </w:pPr>
      <w:r>
        <w:rPr>
          <w:rFonts w:hint="eastAsia" w:ascii="仿宋_GB2312" w:hAnsi="仿宋_GB2312" w:eastAsia="仿宋_GB2312" w:cs="仿宋_GB2312"/>
          <w:sz w:val="32"/>
          <w:szCs w:val="32"/>
          <w:lang w:val="en-US" w:eastAsia="zh-CN"/>
        </w:rPr>
        <w:t>全区应急抢险队伍共2200余人，其中人武部民兵应急连120人、消防救援大队抢险救援队伍20人、区直单位后备应急抢险队伍1300余人、乡镇应急队伍800余人、社会救援力量（汉风救援队）20余人。</w:t>
      </w:r>
      <w:r>
        <w:rPr>
          <w:rFonts w:hint="eastAsia" w:ascii="仿宋_GB2312" w:hAnsi="仿宋_GB2312" w:eastAsia="仿宋_GB2312" w:cs="仿宋_GB2312"/>
          <w:b w:val="0"/>
          <w:bCs w:val="0"/>
          <w:kern w:val="2"/>
          <w:sz w:val="32"/>
          <w:szCs w:val="32"/>
          <w:lang w:val="en-US" w:eastAsia="zh-CN" w:bidi="ar-SA"/>
        </w:rPr>
        <w:t>按照全省防汛工作会议统一部署，5月12日，建安区组织6支抢险队伍960余人在如意湖开展了2023年度防汛抢险应急演练。通过演练，增强了全区应急抢险队伍实战能力、</w:t>
      </w:r>
      <w:r>
        <w:rPr>
          <w:rFonts w:hint="eastAsia" w:ascii="仿宋_GB2312" w:hAnsi="仿宋_GB2312" w:eastAsia="仿宋_GB2312" w:cs="仿宋_GB2312"/>
          <w:sz w:val="32"/>
          <w:szCs w:val="32"/>
          <w:lang w:val="en-US" w:eastAsia="zh-CN"/>
        </w:rPr>
        <w:t>应急处置能力</w:t>
      </w:r>
      <w:r>
        <w:rPr>
          <w:rFonts w:hint="eastAsia" w:ascii="仿宋_GB2312" w:hAnsi="仿宋_GB2312" w:eastAsia="仿宋_GB2312" w:cs="仿宋_GB2312"/>
          <w:b w:val="0"/>
          <w:bCs w:val="0"/>
          <w:kern w:val="2"/>
          <w:sz w:val="32"/>
          <w:szCs w:val="32"/>
          <w:lang w:val="en-US" w:eastAsia="zh-CN" w:bidi="ar-SA"/>
        </w:rPr>
        <w:t>，为做好我区水库、河道、城区安全度汛提供了安全保障。</w:t>
      </w:r>
    </w:p>
    <w:p>
      <w:pPr>
        <w:pStyle w:val="5"/>
        <w:keepNext w:val="0"/>
        <w:keepLines w:val="0"/>
        <w:pageBreakBefore w:val="0"/>
        <w:kinsoku/>
        <w:wordWrap/>
        <w:overflowPunct/>
        <w:topLinePunct w:val="0"/>
        <w:autoSpaceDE/>
        <w:autoSpaceDN/>
        <w:bidi w:val="0"/>
        <w:spacing w:after="0" w:afterLines="0" w:line="560" w:lineRule="exact"/>
        <w:ind w:firstLine="640" w:firstLineChars="200"/>
        <w:textAlignment w:val="auto"/>
        <w:rPr>
          <w:rFonts w:hint="eastAsia" w:ascii="仿宋_GB2312" w:hAnsi="仿宋_GB2312" w:eastAsia="仿宋_GB2312" w:cs="仿宋_GB2312"/>
          <w:b w:val="0"/>
          <w:color w:val="000000"/>
          <w:kern w:val="2"/>
          <w:sz w:val="32"/>
          <w:szCs w:val="32"/>
          <w:lang w:val="en-US" w:eastAsia="zh-CN" w:bidi="ar-SA"/>
        </w:rPr>
      </w:pPr>
      <w:r>
        <w:rPr>
          <w:rFonts w:hint="eastAsia" w:ascii="黑体" w:hAnsi="黑体" w:eastAsia="黑体" w:cs="黑体"/>
          <w:b w:val="0"/>
          <w:bCs w:val="0"/>
          <w:color w:val="000000"/>
          <w:kern w:val="2"/>
          <w:sz w:val="32"/>
          <w:szCs w:val="32"/>
          <w:lang w:val="en-US" w:eastAsia="zh-CN" w:bidi="ar-SA"/>
        </w:rPr>
        <w:t>六、巩固工作成效，消防整治“回头看”。</w:t>
      </w:r>
      <w:r>
        <w:rPr>
          <w:rFonts w:hint="eastAsia" w:ascii="仿宋_GB2312" w:hAnsi="仿宋_GB2312" w:eastAsia="仿宋_GB2312" w:cs="仿宋_GB2312"/>
          <w:b w:val="0"/>
          <w:color w:val="000000"/>
          <w:kern w:val="2"/>
          <w:sz w:val="32"/>
          <w:szCs w:val="32"/>
          <w:lang w:val="en-US" w:eastAsia="zh-CN" w:bidi="ar-SA"/>
        </w:rPr>
        <w:t>深刻</w:t>
      </w:r>
      <w:r>
        <w:rPr>
          <w:rFonts w:hint="default" w:ascii="仿宋_GB2312" w:hAnsi="仿宋_GB2312" w:eastAsia="仿宋_GB2312" w:cs="仿宋_GB2312"/>
          <w:b w:val="0"/>
          <w:color w:val="000000"/>
          <w:kern w:val="2"/>
          <w:sz w:val="32"/>
          <w:szCs w:val="32"/>
          <w:lang w:val="en-US" w:eastAsia="zh-CN" w:bidi="ar-SA"/>
        </w:rPr>
        <w:t>汲取北京长峰医院 4·18 火灾事故教训</w:t>
      </w:r>
      <w:r>
        <w:rPr>
          <w:rFonts w:hint="eastAsia" w:ascii="仿宋_GB2312" w:hAnsi="仿宋_GB2312" w:eastAsia="仿宋_GB2312" w:cs="仿宋_GB2312"/>
          <w:b w:val="0"/>
          <w:color w:val="000000"/>
          <w:kern w:val="2"/>
          <w:sz w:val="32"/>
          <w:szCs w:val="32"/>
          <w:lang w:val="en-US" w:eastAsia="zh-CN" w:bidi="ar-SA"/>
        </w:rPr>
        <w:t>，区消防大队抽查劳动密集型企业7家，发现并整改火灾隐患11处，各乡镇（街道）排查劳动密集型企业36家，整改问题隐患36处。区消安委办对100余家劳动密集型企业开展了集中约谈警示，进一步压实了企业消防安全主体责任。</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000000"/>
          <w:sz w:val="32"/>
          <w:szCs w:val="32"/>
        </w:rPr>
      </w:pPr>
      <w:r>
        <w:rPr>
          <w:rFonts w:hint="eastAsia" w:ascii="黑体" w:hAnsi="黑体" w:eastAsia="黑体" w:cs="黑体"/>
          <w:b w:val="0"/>
          <w:bCs w:val="0"/>
          <w:color w:val="000000"/>
          <w:kern w:val="2"/>
          <w:sz w:val="32"/>
          <w:szCs w:val="32"/>
          <w:lang w:val="en-US" w:eastAsia="zh-CN" w:bidi="ar-SA"/>
        </w:rPr>
        <w:t>七、认真</w:t>
      </w:r>
      <w:r>
        <w:rPr>
          <w:rFonts w:hint="eastAsia" w:ascii="黑体" w:hAnsi="黑体" w:eastAsia="黑体" w:cs="黑体"/>
          <w:b w:val="0"/>
          <w:bCs w:val="0"/>
          <w:color w:val="000000"/>
          <w:sz w:val="32"/>
          <w:szCs w:val="32"/>
          <w:lang w:eastAsia="zh-CN"/>
        </w:rPr>
        <w:t>核实灾情，</w:t>
      </w:r>
      <w:r>
        <w:rPr>
          <w:rFonts w:hint="eastAsia" w:ascii="黑体" w:hAnsi="黑体" w:eastAsia="黑体" w:cs="黑体"/>
          <w:b w:val="0"/>
          <w:bCs w:val="0"/>
          <w:color w:val="000000"/>
          <w:sz w:val="32"/>
          <w:szCs w:val="32"/>
          <w:lang w:val="en-US" w:eastAsia="zh-CN"/>
        </w:rPr>
        <w:t>落实</w:t>
      </w:r>
      <w:r>
        <w:rPr>
          <w:rFonts w:hint="eastAsia" w:ascii="黑体" w:hAnsi="黑体" w:eastAsia="黑体" w:cs="黑体"/>
          <w:b w:val="0"/>
          <w:bCs w:val="0"/>
          <w:color w:val="000000"/>
          <w:sz w:val="32"/>
          <w:szCs w:val="32"/>
          <w:lang w:eastAsia="zh-CN"/>
        </w:rPr>
        <w:t>资金发放。</w:t>
      </w:r>
      <w:r>
        <w:rPr>
          <w:rFonts w:hint="eastAsia" w:ascii="仿宋_GB2312" w:hAnsi="仿宋_GB2312" w:eastAsia="仿宋_GB2312" w:cs="仿宋_GB2312"/>
          <w:color w:val="000000"/>
          <w:sz w:val="32"/>
          <w:szCs w:val="32"/>
          <w:lang w:eastAsia="zh-CN"/>
        </w:rPr>
        <w:t>根据</w:t>
      </w:r>
      <w:r>
        <w:rPr>
          <w:rFonts w:hint="eastAsia" w:ascii="仿宋_GB2312" w:hAnsi="仿宋_GB2312" w:eastAsia="仿宋_GB2312" w:cs="仿宋_GB2312"/>
          <w:color w:val="000000"/>
          <w:sz w:val="32"/>
          <w:szCs w:val="32"/>
          <w:lang w:val="en-US" w:eastAsia="zh-CN"/>
        </w:rPr>
        <w:t>2022年</w:t>
      </w:r>
      <w:r>
        <w:rPr>
          <w:rFonts w:hint="eastAsia" w:ascii="仿宋_GB2312" w:hAnsi="仿宋_GB2312" w:eastAsia="仿宋_GB2312" w:cs="仿宋_GB2312"/>
          <w:color w:val="000000"/>
          <w:sz w:val="32"/>
          <w:szCs w:val="32"/>
          <w:lang w:eastAsia="zh-CN"/>
        </w:rPr>
        <w:t>建安区</w:t>
      </w:r>
      <w:r>
        <w:rPr>
          <w:rFonts w:hint="eastAsia" w:ascii="仿宋_GB2312" w:hAnsi="仿宋_GB2312" w:eastAsia="仿宋_GB2312" w:cs="仿宋_GB2312"/>
          <w:color w:val="000000"/>
          <w:sz w:val="32"/>
          <w:szCs w:val="32"/>
          <w:lang w:val="en-US" w:eastAsia="zh-CN"/>
        </w:rPr>
        <w:t>自然灾害情况，</w:t>
      </w:r>
      <w:r>
        <w:rPr>
          <w:rFonts w:hint="eastAsia" w:ascii="仿宋_GB2312" w:hAnsi="仿宋_GB2312" w:eastAsia="仿宋_GB2312" w:cs="仿宋_GB2312"/>
          <w:color w:val="000000"/>
          <w:sz w:val="32"/>
          <w:szCs w:val="32"/>
        </w:rPr>
        <w:t>共有1</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个乡镇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街道</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16168户</w:t>
      </w: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4259</w:t>
      </w:r>
      <w:r>
        <w:rPr>
          <w:rFonts w:hint="eastAsia" w:ascii="仿宋_GB2312" w:hAnsi="仿宋_GB2312" w:eastAsia="仿宋_GB2312" w:cs="仿宋_GB2312"/>
          <w:color w:val="000000"/>
          <w:sz w:val="32"/>
          <w:szCs w:val="32"/>
        </w:rPr>
        <w:t>人</w:t>
      </w:r>
      <w:r>
        <w:rPr>
          <w:rFonts w:hint="eastAsia" w:ascii="仿宋_GB2312" w:hAnsi="仿宋_GB2312" w:eastAsia="仿宋_GB2312" w:cs="仿宋_GB2312"/>
          <w:color w:val="000000"/>
          <w:sz w:val="32"/>
          <w:szCs w:val="32"/>
          <w:lang w:eastAsia="zh-CN"/>
        </w:rPr>
        <w:t>涉及冬春救助，</w:t>
      </w:r>
      <w:r>
        <w:rPr>
          <w:rFonts w:hint="eastAsia" w:ascii="仿宋_GB2312" w:hAnsi="仿宋_GB2312" w:eastAsia="仿宋_GB2312" w:cs="仿宋_GB2312"/>
          <w:color w:val="000000"/>
          <w:sz w:val="32"/>
          <w:szCs w:val="32"/>
        </w:rPr>
        <w:t>10个乡镇</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街道</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63人涉及过渡期救助</w:t>
      </w:r>
      <w:r>
        <w:rPr>
          <w:rFonts w:hint="eastAsia" w:ascii="仿宋_GB2312" w:hAnsi="仿宋_GB2312" w:eastAsia="仿宋_GB2312" w:cs="仿宋_GB2312"/>
          <w:color w:val="000000"/>
          <w:sz w:val="32"/>
          <w:szCs w:val="32"/>
          <w:lang w:eastAsia="zh-CN"/>
        </w:rPr>
        <w:t>。截止</w:t>
      </w:r>
      <w:r>
        <w:rPr>
          <w:rFonts w:hint="eastAsia" w:ascii="仿宋_GB2312" w:hAnsi="仿宋_GB2312" w:eastAsia="仿宋_GB2312" w:cs="仿宋_GB2312"/>
          <w:color w:val="000000"/>
          <w:sz w:val="32"/>
          <w:szCs w:val="32"/>
          <w:lang w:val="en-US" w:eastAsia="zh-CN"/>
        </w:rPr>
        <w:t>春节前</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473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救助资金</w:t>
      </w:r>
      <w:r>
        <w:rPr>
          <w:rFonts w:hint="eastAsia" w:ascii="仿宋_GB2312" w:hAnsi="仿宋_GB2312" w:eastAsia="仿宋_GB2312" w:cs="仿宋_GB2312"/>
          <w:color w:val="000000"/>
          <w:sz w:val="32"/>
          <w:szCs w:val="32"/>
        </w:rPr>
        <w:t>已按程序全部发放</w:t>
      </w:r>
      <w:r>
        <w:rPr>
          <w:rFonts w:hint="eastAsia" w:ascii="仿宋_GB2312" w:hAnsi="仿宋_GB2312" w:eastAsia="仿宋_GB2312" w:cs="仿宋_GB2312"/>
          <w:color w:val="000000"/>
          <w:sz w:val="32"/>
          <w:szCs w:val="32"/>
          <w:lang w:eastAsia="zh-CN"/>
        </w:rPr>
        <w:t>到群众手中</w:t>
      </w:r>
      <w:r>
        <w:rPr>
          <w:rFonts w:hint="eastAsia" w:ascii="仿宋_GB2312" w:hAnsi="仿宋_GB2312" w:eastAsia="仿宋_GB2312" w:cs="仿宋_GB2312"/>
          <w:color w:val="000000"/>
          <w:sz w:val="32"/>
          <w:szCs w:val="32"/>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lang w:val="en-US" w:eastAsia="zh-CN"/>
        </w:rPr>
      </w:pPr>
      <w:r>
        <w:rPr>
          <w:rFonts w:hint="eastAsia" w:ascii="仿宋_GB2312" w:hAnsi="仿宋_GB2312" w:eastAsia="仿宋_GB2312" w:cs="仿宋_GB2312"/>
          <w:b w:val="0"/>
          <w:bCs w:val="0"/>
          <w:kern w:val="2"/>
          <w:sz w:val="32"/>
          <w:szCs w:val="32"/>
          <w:lang w:val="en-US" w:eastAsia="zh-CN" w:bidi="ar-SA"/>
        </w:rPr>
        <w:t>发布会上，围绕今年防汛备汛措施、重大隐患排查整治2023年行动和第22个安全生产月活动安排等问题回答了媒体记者提问。区应急管理局领导与媒体记者进行了互动交流，并一一解答。河南日报、河南法治报、环球网、许昌日报等8家媒体参加新闻发布会。</w:t>
      </w:r>
    </w:p>
    <w:p>
      <w:pPr>
        <w:keepNext w:val="0"/>
        <w:keepLines w:val="0"/>
        <w:pageBreakBefore w:val="0"/>
        <w:widowControl/>
        <w:kinsoku/>
        <w:wordWrap/>
        <w:overflowPunct/>
        <w:topLinePunct w:val="0"/>
        <w:autoSpaceDE/>
        <w:autoSpaceDN/>
        <w:bidi w:val="0"/>
        <w:adjustRightInd/>
        <w:snapToGrid/>
        <w:spacing w:before="0" w:beforeLines="0" w:after="0" w:afterLines="0" w:line="560" w:lineRule="exact"/>
        <w:ind w:right="0" w:rightChars="0" w:firstLine="640" w:firstLineChars="200"/>
        <w:jc w:val="both"/>
        <w:textAlignment w:val="auto"/>
        <w:outlineLvl w:val="9"/>
        <w:rPr>
          <w:rFonts w:hint="eastAsia" w:ascii="黑体" w:hAnsi="黑体" w:eastAsia="黑体" w:cs="黑体"/>
          <w:b w:val="0"/>
          <w:bCs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i w:val="0"/>
          <w:iCs w:val="0"/>
          <w:caps w:val="0"/>
          <w:spacing w:val="0"/>
          <w:sz w:val="32"/>
          <w:szCs w:val="32"/>
          <w:shd w:val="clear" w:fill="FFFFFF"/>
          <w:lang w:val="en-US" w:eastAsia="zh-CN"/>
        </w:rPr>
      </w:pPr>
    </w:p>
    <w:sectPr>
      <w:footerReference r:id="rId3" w:type="default"/>
      <w:pgSz w:w="11906" w:h="16838"/>
      <w:pgMar w:top="1701" w:right="1417" w:bottom="1417" w:left="170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5FBC89-38E5-4C0D-BFFA-C6A62EC8EF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A00002BF" w:usb1="38CF7CFA" w:usb2="00082016"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E0000" w:usb2="00000000" w:usb3="00000000" w:csb0="00040000" w:csb1="00000000"/>
    <w:embedRegular r:id="rId2" w:fontKey="{F3462480-D3BE-48E8-9442-E3AD7C3525BE}"/>
  </w:font>
  <w:font w:name="仿宋_GB2312">
    <w:panose1 w:val="02010609030101010101"/>
    <w:charset w:val="86"/>
    <w:family w:val="auto"/>
    <w:pitch w:val="default"/>
    <w:sig w:usb0="00000001" w:usb1="080E0000" w:usb2="00000000" w:usb3="00000000" w:csb0="00040000" w:csb1="00000000"/>
    <w:embedRegular r:id="rId3" w:fontKey="{67CEF699-8C82-461F-A6AD-210D7CF7F95C}"/>
  </w:font>
  <w:font w:name="楷体_GB2312">
    <w:panose1 w:val="02010609030101010101"/>
    <w:charset w:val="86"/>
    <w:family w:val="modern"/>
    <w:pitch w:val="default"/>
    <w:sig w:usb0="00000001" w:usb1="080E0000" w:usb2="00000000" w:usb3="00000000" w:csb0="00040000" w:csb1="00000000"/>
    <w:embedRegular r:id="rId4" w:fontKey="{0DC3F458-C033-462A-B37A-6EBA67530537}"/>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kxMzJkMDliYWRjZmVhNzc4YjkzNGY4Y2Y5NzFmZDkifQ=="/>
  </w:docVars>
  <w:rsids>
    <w:rsidRoot w:val="5ACE78E5"/>
    <w:rsid w:val="02C32E43"/>
    <w:rsid w:val="0AE97FCE"/>
    <w:rsid w:val="1684706D"/>
    <w:rsid w:val="19DC4185"/>
    <w:rsid w:val="25FD5DBC"/>
    <w:rsid w:val="2DDC0213"/>
    <w:rsid w:val="33002FB5"/>
    <w:rsid w:val="574D00A2"/>
    <w:rsid w:val="5ACE78E5"/>
    <w:rsid w:val="5CF46434"/>
    <w:rsid w:val="5F304531"/>
    <w:rsid w:val="5F557AF4"/>
    <w:rsid w:val="693D5EA3"/>
    <w:rsid w:val="6B7B6B34"/>
    <w:rsid w:val="7456013E"/>
    <w:rsid w:val="756D6D8D"/>
    <w:rsid w:val="798057FE"/>
    <w:rsid w:val="7D3B5F4E"/>
    <w:rsid w:val="7FBC5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Body Text"/>
    <w:basedOn w:val="1"/>
    <w:next w:val="5"/>
    <w:unhideWhenUsed/>
    <w:qFormat/>
    <w:uiPriority w:val="99"/>
    <w:pPr>
      <w:widowControl/>
      <w:adjustRightInd w:val="0"/>
      <w:snapToGrid w:val="0"/>
      <w:spacing w:line="600" w:lineRule="exact"/>
      <w:jc w:val="left"/>
    </w:pPr>
    <w:rPr>
      <w:rFonts w:ascii="方正仿宋_GBK" w:hAnsi="Tahoma" w:eastAsia="方正仿宋_GBK" w:cs="Tahoma"/>
      <w:color w:val="000000"/>
      <w:kern w:val="0"/>
      <w:sz w:val="32"/>
      <w:szCs w:val="21"/>
    </w:rPr>
  </w:style>
  <w:style w:type="paragraph" w:styleId="5">
    <w:name w:val="Body Text 2"/>
    <w:basedOn w:val="1"/>
    <w:next w:val="4"/>
    <w:qFormat/>
    <w:uiPriority w:val="0"/>
    <w:pPr>
      <w:spacing w:after="120" w:afterLines="0" w:line="480" w:lineRule="auto"/>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1260</Words>
  <Characters>1348</Characters>
  <Lines>0</Lines>
  <Paragraphs>0</Paragraphs>
  <TotalTime>0</TotalTime>
  <ScaleCrop>false</ScaleCrop>
  <LinksUpToDate>false</LinksUpToDate>
  <CharactersWithSpaces>1350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2023-05-31T04:42:00Z</dcterms:created>
  <dc:creator>。。</dc:creator>
  <cp:lastModifiedBy>。。</cp:lastModifiedBy>
  <cp:lastPrinted>2023-05-31T07:57:00Z</cp:lastPrinted>
  <dcterms:modified xsi:type="dcterms:W3CDTF">2023-06-13T02:15:38Z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8ECDD3F2DB32435B879330FFA94C388F_11</vt:lpwstr>
  </property>
</Properties>
</file>