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23F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决策部署落实情况</w:t>
      </w:r>
    </w:p>
    <w:p w14:paraId="77BA4604">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shd w:val="clear" w:fill="FFFFFF"/>
        </w:rPr>
        <w:t>20</w:t>
      </w:r>
      <w:r>
        <w:rPr>
          <w:rFonts w:hint="eastAsia" w:ascii="Verdana" w:hAnsi="Verdana" w:cs="Verdana"/>
          <w:i w:val="0"/>
          <w:iCs w:val="0"/>
          <w:caps w:val="0"/>
          <w:color w:val="000000"/>
          <w:spacing w:val="0"/>
          <w:sz w:val="27"/>
          <w:szCs w:val="27"/>
          <w:shd w:val="clear" w:fill="FFFFFF"/>
          <w:lang w:val="en-US" w:eastAsia="zh-CN"/>
        </w:rPr>
        <w:t>24年，</w:t>
      </w:r>
      <w:bookmarkStart w:id="0" w:name="_GoBack"/>
      <w:bookmarkEnd w:id="0"/>
      <w:r>
        <w:rPr>
          <w:rFonts w:hint="default" w:ascii="Verdana" w:hAnsi="Verdana" w:cs="Verdana"/>
          <w:i w:val="0"/>
          <w:iCs w:val="0"/>
          <w:caps w:val="0"/>
          <w:color w:val="000000"/>
          <w:spacing w:val="0"/>
          <w:sz w:val="27"/>
          <w:szCs w:val="27"/>
          <w:shd w:val="clear" w:fill="FFFFFF"/>
        </w:rPr>
        <w:t>我</w:t>
      </w:r>
      <w:r>
        <w:rPr>
          <w:rFonts w:hint="eastAsia" w:ascii="Verdana" w:hAnsi="Verdana" w:cs="Verdana"/>
          <w:i w:val="0"/>
          <w:iCs w:val="0"/>
          <w:caps w:val="0"/>
          <w:color w:val="000000"/>
          <w:spacing w:val="0"/>
          <w:sz w:val="27"/>
          <w:szCs w:val="27"/>
          <w:shd w:val="clear" w:fill="FFFFFF"/>
          <w:lang w:eastAsia="zh-CN"/>
        </w:rPr>
        <w:t>镇</w:t>
      </w:r>
      <w:r>
        <w:rPr>
          <w:rFonts w:hint="default" w:ascii="Verdana" w:hAnsi="Verdana" w:cs="Verdana"/>
          <w:i w:val="0"/>
          <w:iCs w:val="0"/>
          <w:caps w:val="0"/>
          <w:color w:val="000000"/>
          <w:spacing w:val="0"/>
          <w:sz w:val="27"/>
          <w:szCs w:val="27"/>
          <w:shd w:val="clear" w:fill="FFFFFF"/>
        </w:rPr>
        <w:t>根据相关要求，结合工作实际，制定了《</w:t>
      </w:r>
      <w:r>
        <w:rPr>
          <w:rFonts w:hint="eastAsia" w:ascii="Verdana" w:hAnsi="Verdana" w:cs="Verdana"/>
          <w:i w:val="0"/>
          <w:iCs w:val="0"/>
          <w:caps w:val="0"/>
          <w:color w:val="000000"/>
          <w:spacing w:val="0"/>
          <w:sz w:val="27"/>
          <w:szCs w:val="27"/>
          <w:shd w:val="clear" w:fill="FFFFFF"/>
          <w:lang w:eastAsia="zh-CN"/>
        </w:rPr>
        <w:t>张潘镇</w:t>
      </w:r>
      <w:r>
        <w:rPr>
          <w:rFonts w:hint="default" w:ascii="Verdana" w:hAnsi="Verdana" w:cs="Verdana"/>
          <w:i w:val="0"/>
          <w:iCs w:val="0"/>
          <w:caps w:val="0"/>
          <w:color w:val="000000"/>
          <w:spacing w:val="0"/>
          <w:sz w:val="27"/>
          <w:szCs w:val="27"/>
          <w:shd w:val="clear" w:fill="FFFFFF"/>
        </w:rPr>
        <w:t>低收入群体农村危房改造工作实施方案》。在总体思路，立足于保障和巩固农村住房提升相结合，实现了与乡村振兴政策有效衔接，保持了脱贫攻坚期、巩固成果五年过渡期危房改造政策不变。</w:t>
      </w:r>
    </w:p>
    <w:p w14:paraId="7B95A603">
      <w:pPr>
        <w:pStyle w:val="2"/>
        <w:keepNext w:val="0"/>
        <w:keepLines w:val="0"/>
        <w:widowControl/>
        <w:suppressLineNumbers w:val="0"/>
        <w:spacing w:line="420" w:lineRule="atLeast"/>
        <w:ind w:left="0" w:firstLine="420"/>
        <w:jc w:val="left"/>
      </w:pPr>
      <w:r>
        <w:rPr>
          <w:rFonts w:hint="default" w:ascii="Verdana" w:hAnsi="Verdana" w:cs="Verdana"/>
          <w:i w:val="0"/>
          <w:iCs w:val="0"/>
          <w:caps w:val="0"/>
          <w:color w:val="000000"/>
          <w:spacing w:val="0"/>
          <w:sz w:val="27"/>
          <w:szCs w:val="27"/>
          <w:shd w:val="clear" w:fill="FFFFFF"/>
        </w:rPr>
        <w:t>政策落实上，一是在危改对象身份认定上，补助对象由四类调整为六类。即：危房改造工作适用人群范围由原来四类对象（建档立卡贫困户、低保户、农村分散供养特困户、贫困残疾家庭）增加到六类对象（农村易返贫致贫户、农村低保户、农村分散供养特困户、因病因灾等突发严重困难家庭、农村低保边缘户和未享受过农房保障政策且无力解决住房安全的其他脱贫户）。政策调整后，覆盖面更广，收益面更大，解决了一般家庭突发困难户房屋安全保障补助问题。二是基本住房保障上限适度不限，在保持政策不变，补助标准不变，适度在保障性住房建筑面积上根据省市文件精神由所放宽，保障底限，适度不做上限（原</w:t>
      </w:r>
      <w:r>
        <w:rPr>
          <w:rFonts w:hint="eastAsia" w:ascii="Verdana" w:hAnsi="Verdana" w:cs="Verdana"/>
          <w:i w:val="0"/>
          <w:iCs w:val="0"/>
          <w:caps w:val="0"/>
          <w:color w:val="000000"/>
          <w:spacing w:val="0"/>
          <w:sz w:val="27"/>
          <w:szCs w:val="27"/>
          <w:shd w:val="clear" w:fill="FFFFFF"/>
          <w:lang w:eastAsia="zh-CN"/>
        </w:rPr>
        <w:t>则上</w:t>
      </w:r>
      <w:r>
        <w:rPr>
          <w:rFonts w:hint="default" w:ascii="Verdana" w:hAnsi="Verdana" w:cs="Verdana"/>
          <w:i w:val="0"/>
          <w:iCs w:val="0"/>
          <w:caps w:val="0"/>
          <w:color w:val="000000"/>
          <w:spacing w:val="0"/>
          <w:sz w:val="27"/>
          <w:szCs w:val="27"/>
          <w:shd w:val="clear" w:fill="FFFFFF"/>
        </w:rPr>
        <w:t>1人户</w:t>
      </w:r>
      <w:r>
        <w:rPr>
          <w:rFonts w:hint="eastAsia" w:ascii="Verdana" w:hAnsi="Verdana" w:cs="Verdana"/>
          <w:i w:val="0"/>
          <w:iCs w:val="0"/>
          <w:caps w:val="0"/>
          <w:color w:val="000000"/>
          <w:spacing w:val="0"/>
          <w:sz w:val="27"/>
          <w:szCs w:val="27"/>
          <w:shd w:val="clear" w:fill="FFFFFF"/>
          <w:lang w:eastAsia="zh-CN"/>
        </w:rPr>
        <w:t>不低于</w:t>
      </w:r>
      <w:r>
        <w:rPr>
          <w:rFonts w:hint="eastAsia" w:ascii="Verdana" w:hAnsi="Verdana" w:cs="Verdana"/>
          <w:i w:val="0"/>
          <w:iCs w:val="0"/>
          <w:caps w:val="0"/>
          <w:color w:val="000000"/>
          <w:spacing w:val="0"/>
          <w:sz w:val="27"/>
          <w:szCs w:val="27"/>
          <w:shd w:val="clear" w:fill="FFFFFF"/>
          <w:lang w:val="en-US" w:eastAsia="zh-CN"/>
        </w:rPr>
        <w:t>20</w:t>
      </w:r>
      <w:r>
        <w:rPr>
          <w:rFonts w:hint="default" w:ascii="Verdana" w:hAnsi="Verdana" w:cs="Verdana"/>
          <w:i w:val="0"/>
          <w:iCs w:val="0"/>
          <w:caps w:val="0"/>
          <w:color w:val="000000"/>
          <w:spacing w:val="0"/>
          <w:sz w:val="27"/>
          <w:szCs w:val="27"/>
          <w:shd w:val="clear" w:fill="FFFFFF"/>
        </w:rPr>
        <w:t>平方米，</w:t>
      </w:r>
      <w:r>
        <w:rPr>
          <w:rFonts w:hint="eastAsia" w:ascii="Verdana" w:hAnsi="Verdana" w:cs="Verdana"/>
          <w:i w:val="0"/>
          <w:iCs w:val="0"/>
          <w:caps w:val="0"/>
          <w:color w:val="000000"/>
          <w:spacing w:val="0"/>
          <w:sz w:val="27"/>
          <w:szCs w:val="27"/>
          <w:shd w:val="clear" w:fill="FFFFFF"/>
          <w:lang w:val="en-US" w:eastAsia="zh-CN"/>
        </w:rPr>
        <w:t>2</w:t>
      </w:r>
      <w:r>
        <w:rPr>
          <w:rFonts w:hint="default" w:ascii="Verdana" w:hAnsi="Verdana" w:cs="Verdana"/>
          <w:i w:val="0"/>
          <w:iCs w:val="0"/>
          <w:caps w:val="0"/>
          <w:color w:val="000000"/>
          <w:spacing w:val="0"/>
          <w:sz w:val="27"/>
          <w:szCs w:val="27"/>
          <w:shd w:val="clear" w:fill="FFFFFF"/>
        </w:rPr>
        <w:t>人户不低于</w:t>
      </w:r>
      <w:r>
        <w:rPr>
          <w:rFonts w:hint="eastAsia" w:ascii="Verdana" w:hAnsi="Verdana" w:cs="Verdana"/>
          <w:i w:val="0"/>
          <w:iCs w:val="0"/>
          <w:caps w:val="0"/>
          <w:color w:val="000000"/>
          <w:spacing w:val="0"/>
          <w:sz w:val="27"/>
          <w:szCs w:val="27"/>
          <w:shd w:val="clear" w:fill="FFFFFF"/>
          <w:lang w:val="en-US" w:eastAsia="zh-CN"/>
        </w:rPr>
        <w:t>30</w:t>
      </w:r>
      <w:r>
        <w:rPr>
          <w:rFonts w:hint="default" w:ascii="Verdana" w:hAnsi="Verdana" w:cs="Verdana"/>
          <w:i w:val="0"/>
          <w:iCs w:val="0"/>
          <w:caps w:val="0"/>
          <w:color w:val="000000"/>
          <w:spacing w:val="0"/>
          <w:sz w:val="27"/>
          <w:szCs w:val="27"/>
          <w:shd w:val="clear" w:fill="FFFFFF"/>
        </w:rPr>
        <w:t>平方米，</w:t>
      </w:r>
      <w:r>
        <w:rPr>
          <w:rFonts w:hint="eastAsia" w:ascii="Verdana" w:hAnsi="Verdana" w:cs="Verdana"/>
          <w:i w:val="0"/>
          <w:iCs w:val="0"/>
          <w:caps w:val="0"/>
          <w:color w:val="000000"/>
          <w:spacing w:val="0"/>
          <w:sz w:val="27"/>
          <w:szCs w:val="27"/>
          <w:shd w:val="clear" w:fill="FFFFFF"/>
          <w:lang w:val="en-US" w:eastAsia="zh-CN"/>
        </w:rPr>
        <w:t>3</w:t>
      </w:r>
      <w:r>
        <w:rPr>
          <w:rFonts w:hint="default" w:ascii="Verdana" w:hAnsi="Verdana" w:cs="Verdana"/>
          <w:i w:val="0"/>
          <w:iCs w:val="0"/>
          <w:caps w:val="0"/>
          <w:color w:val="000000"/>
          <w:spacing w:val="0"/>
          <w:sz w:val="27"/>
          <w:szCs w:val="27"/>
          <w:shd w:val="clear" w:fill="FFFFFF"/>
        </w:rPr>
        <w:t>人户不低于</w:t>
      </w:r>
      <w:r>
        <w:rPr>
          <w:rFonts w:hint="eastAsia" w:ascii="Verdana" w:hAnsi="Verdana" w:cs="Verdana"/>
          <w:i w:val="0"/>
          <w:iCs w:val="0"/>
          <w:caps w:val="0"/>
          <w:color w:val="000000"/>
          <w:spacing w:val="0"/>
          <w:sz w:val="27"/>
          <w:szCs w:val="27"/>
          <w:shd w:val="clear" w:fill="FFFFFF"/>
          <w:lang w:val="en-US" w:eastAsia="zh-CN"/>
        </w:rPr>
        <w:t>4</w:t>
      </w:r>
      <w:r>
        <w:rPr>
          <w:rFonts w:hint="default" w:ascii="Verdana" w:hAnsi="Verdana" w:cs="Verdana"/>
          <w:i w:val="0"/>
          <w:iCs w:val="0"/>
          <w:caps w:val="0"/>
          <w:color w:val="000000"/>
          <w:spacing w:val="0"/>
          <w:sz w:val="27"/>
          <w:szCs w:val="27"/>
          <w:shd w:val="clear" w:fill="FFFFFF"/>
        </w:rPr>
        <w:t>0平方米，</w:t>
      </w:r>
      <w:r>
        <w:rPr>
          <w:rFonts w:hint="eastAsia" w:ascii="Verdana" w:hAnsi="Verdana" w:cs="Verdana"/>
          <w:i w:val="0"/>
          <w:iCs w:val="0"/>
          <w:caps w:val="0"/>
          <w:color w:val="000000"/>
          <w:spacing w:val="0"/>
          <w:sz w:val="27"/>
          <w:szCs w:val="27"/>
          <w:shd w:val="clear" w:fill="FFFFFF"/>
          <w:lang w:val="en-US" w:eastAsia="zh-CN"/>
        </w:rPr>
        <w:t>3</w:t>
      </w:r>
      <w:r>
        <w:rPr>
          <w:rFonts w:hint="default" w:ascii="Verdana" w:hAnsi="Verdana" w:cs="Verdana"/>
          <w:i w:val="0"/>
          <w:iCs w:val="0"/>
          <w:caps w:val="0"/>
          <w:color w:val="000000"/>
          <w:spacing w:val="0"/>
          <w:sz w:val="27"/>
          <w:szCs w:val="27"/>
          <w:shd w:val="clear" w:fill="FFFFFF"/>
        </w:rPr>
        <w:t>人以上人</w:t>
      </w:r>
      <w:r>
        <w:rPr>
          <w:rFonts w:hint="eastAsia" w:ascii="Verdana" w:hAnsi="Verdana" w:cs="Verdana"/>
          <w:i w:val="0"/>
          <w:iCs w:val="0"/>
          <w:caps w:val="0"/>
          <w:color w:val="000000"/>
          <w:spacing w:val="0"/>
          <w:sz w:val="27"/>
          <w:szCs w:val="27"/>
          <w:shd w:val="clear" w:fill="FFFFFF"/>
          <w:lang w:eastAsia="zh-CN"/>
        </w:rPr>
        <w:t>均</w:t>
      </w:r>
      <w:r>
        <w:rPr>
          <w:rFonts w:hint="default" w:ascii="Verdana" w:hAnsi="Verdana" w:cs="Verdana"/>
          <w:i w:val="0"/>
          <w:iCs w:val="0"/>
          <w:caps w:val="0"/>
          <w:color w:val="000000"/>
          <w:spacing w:val="0"/>
          <w:sz w:val="27"/>
          <w:szCs w:val="27"/>
          <w:shd w:val="clear" w:fill="FFFFFF"/>
        </w:rPr>
        <w:t>不超过1</w:t>
      </w:r>
      <w:r>
        <w:rPr>
          <w:rFonts w:hint="eastAsia" w:ascii="Verdana" w:hAnsi="Verdana" w:cs="Verdana"/>
          <w:i w:val="0"/>
          <w:iCs w:val="0"/>
          <w:caps w:val="0"/>
          <w:color w:val="000000"/>
          <w:spacing w:val="0"/>
          <w:sz w:val="27"/>
          <w:szCs w:val="27"/>
          <w:shd w:val="clear" w:fill="FFFFFF"/>
          <w:lang w:val="en-US" w:eastAsia="zh-CN"/>
        </w:rPr>
        <w:t>3</w:t>
      </w:r>
      <w:r>
        <w:rPr>
          <w:rFonts w:hint="default" w:ascii="Verdana" w:hAnsi="Verdana" w:cs="Verdana"/>
          <w:i w:val="0"/>
          <w:iCs w:val="0"/>
          <w:caps w:val="0"/>
          <w:color w:val="000000"/>
          <w:spacing w:val="0"/>
          <w:sz w:val="27"/>
          <w:szCs w:val="27"/>
          <w:shd w:val="clear" w:fill="FFFFFF"/>
        </w:rPr>
        <w:t>平方米），适应了由基本保障到巩固提升的转变，同时引导低收入群体尽力而为、量力而行。</w:t>
      </w:r>
    </w:p>
    <w:p w14:paraId="3D78AA5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ZTc1ODc1M2MzN2U0YzcxMmJkYzY5MzZiZmYyZmYifQ=="/>
  </w:docVars>
  <w:rsids>
    <w:rsidRoot w:val="00000000"/>
    <w:rsid w:val="1DA13513"/>
    <w:rsid w:val="1FBF313C"/>
    <w:rsid w:val="3EE45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521</Words>
  <Characters>528</Characters>
  <Lines>0</Lines>
  <Paragraphs>0</Paragraphs>
  <TotalTime>6</TotalTime>
  <ScaleCrop>false</ScaleCrop>
  <LinksUpToDate>false</LinksUpToDate>
  <CharactersWithSpaces>528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2022-09-23T13:47:00Z</dcterms:created>
  <dc:creator>Administrator</dc:creator>
  <cp:lastModifiedBy>Administrator</cp:lastModifiedBy>
  <dcterms:modified xsi:type="dcterms:W3CDTF">2024-07-04T09:53:28Z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F27C0B533A654371BE0C65969BED2FAB</vt:lpwstr>
  </property>
</Properties>
</file>