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ms-word.document.macroEnabled.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6E357B">
      <w:pPr>
        <w:rPr>
          <w:rFonts w:hint="default" w:ascii="Times New Roman" w:hAnsi="Times New Roman" w:cs="Times New Roman"/>
          <w:i w:val="0"/>
          <w:iCs w:val="0"/>
          <w:caps w:val="0"/>
          <w:color w:val="333333"/>
          <w:spacing w:val="0"/>
          <w:sz w:val="32"/>
          <w:szCs w:val="32"/>
          <w:shd w:val="clear" w:fill="FFFFFF"/>
        </w:rPr>
      </w:pPr>
    </w:p>
    <w:p w14:paraId="7E825F18">
      <w:pPr>
        <w:keepNext w:val="0"/>
        <w:keepLines w:val="0"/>
        <w:pageBreakBefore w:val="0"/>
        <w:widowControl w:val="0"/>
        <w:kinsoku/>
        <w:wordWrap/>
        <w:overflowPunct/>
        <w:topLinePunct w:val="0"/>
        <w:autoSpaceDE/>
        <w:autoSpaceDN/>
        <w:bidi w:val="0"/>
        <w:adjustRightInd/>
        <w:snapToGrid/>
        <w:spacing w:before="0" w:beforeLines="0" w:after="0" w:afterLines="0" w:line="660" w:lineRule="exact"/>
        <w:ind w:right="0" w:rightChars="0"/>
        <w:jc w:val="center"/>
        <w:textAlignment w:val="auto"/>
        <w:outlineLvl w:val="9"/>
        <w:rPr>
          <w:rFonts w:hint="eastAsia" w:ascii="方正小标宋简体" w:hAnsi="方正小标宋简体" w:eastAsia="方正小标宋简体" w:cs="方正小标宋简体"/>
          <w:b w:val="0"/>
          <w:bCs/>
          <w:snapToGrid/>
          <w:color w:val="auto"/>
          <w:sz w:val="44"/>
          <w:szCs w:val="44"/>
          <w:lang w:val="en-US" w:eastAsia="zh-CN"/>
        </w:rPr>
      </w:pPr>
      <w:r>
        <w:rPr>
          <w:rFonts w:hint="eastAsia" w:ascii="方正小标宋简体" w:hAnsi="方正小标宋简体" w:eastAsia="方正小标宋简体" w:cs="方正小标宋简体"/>
          <w:b w:val="0"/>
          <w:bCs/>
          <w:snapToGrid/>
          <w:color w:val="auto"/>
          <w:sz w:val="44"/>
          <w:szCs w:val="44"/>
          <w:lang w:val="en-US" w:eastAsia="zh-CN"/>
        </w:rPr>
        <w:t>许昌市生态环境局建安分局</w:t>
      </w:r>
    </w:p>
    <w:p w14:paraId="1E525638">
      <w:pPr>
        <w:keepNext w:val="0"/>
        <w:keepLines w:val="0"/>
        <w:pageBreakBefore w:val="0"/>
        <w:widowControl w:val="0"/>
        <w:kinsoku/>
        <w:wordWrap/>
        <w:overflowPunct/>
        <w:topLinePunct w:val="0"/>
        <w:autoSpaceDE/>
        <w:autoSpaceDN/>
        <w:bidi w:val="0"/>
        <w:adjustRightInd/>
        <w:snapToGrid/>
        <w:spacing w:before="0" w:beforeLines="0" w:after="0" w:afterLines="0" w:line="660" w:lineRule="exact"/>
        <w:ind w:right="0" w:rightChars="0"/>
        <w:jc w:val="center"/>
        <w:textAlignment w:val="auto"/>
        <w:outlineLvl w:val="9"/>
        <w:rPr>
          <w:rFonts w:hint="eastAsia" w:ascii="楷体" w:hAnsi="楷体" w:eastAsia="楷体" w:cs="楷体"/>
          <w:b/>
          <w:bCs/>
          <w:kern w:val="2"/>
          <w:sz w:val="32"/>
          <w:szCs w:val="32"/>
          <w:lang w:val="en-US" w:eastAsia="zh-CN" w:bidi="ar-SA"/>
        </w:rPr>
      </w:pPr>
      <w:r>
        <w:rPr>
          <w:rFonts w:hint="eastAsia" w:ascii="方正小标宋简体" w:hAnsi="方正小标宋简体" w:eastAsia="方正小标宋简体" w:cs="方正小标宋简体"/>
          <w:b w:val="0"/>
          <w:bCs/>
          <w:snapToGrid/>
          <w:color w:val="auto"/>
          <w:sz w:val="44"/>
          <w:szCs w:val="44"/>
          <w:lang w:val="en-US" w:eastAsia="zh-CN"/>
        </w:rPr>
        <w:t>关于2025年法治政府建设情况的报告</w:t>
      </w:r>
    </w:p>
    <w:p w14:paraId="2C1DE8D1">
      <w:pPr>
        <w:keepNext w:val="0"/>
        <w:keepLines w:val="0"/>
        <w:widowControl/>
        <w:numPr>
          <w:ilvl w:val="0"/>
          <w:numId w:val="0"/>
        </w:numPr>
        <w:suppressLineNumbers w:val="0"/>
        <w:ind w:firstLine="640" w:firstLineChars="200"/>
        <w:jc w:val="left"/>
        <w:rPr>
          <w:rFonts w:hint="default" w:ascii="仿宋_GB2312" w:hAnsi="仿宋_GB2312" w:eastAsia="仿宋_GB2312" w:cs="仿宋_GB2312"/>
          <w:sz w:val="32"/>
          <w:szCs w:val="32"/>
        </w:rPr>
      </w:pPr>
    </w:p>
    <w:p w14:paraId="70F9F2C1">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default"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5年，我局始终坚持以习近平法治思想和习近平生态文明思想为根本遵循，紧扣生态环境保护中心工作，将法治建设与污染防治攻坚、环境执法监管、营商环境优化等工作深度融合，不断提升生态环境工作法治化、规范化水平。现根据工作要求，将2025年</w:t>
      </w:r>
      <w:bookmarkStart w:id="0" w:name="_GoBack"/>
      <w:bookmarkEnd w:id="0"/>
      <w:r>
        <w:rPr>
          <w:rFonts w:hint="eastAsia" w:ascii="仿宋_GB2312" w:hAnsi="仿宋_GB2312" w:eastAsia="仿宋_GB2312" w:cs="仿宋_GB2312"/>
          <w:sz w:val="32"/>
          <w:szCs w:val="32"/>
          <w:lang w:val="en-US" w:eastAsia="zh-CN"/>
        </w:rPr>
        <w:t>法治政府建设情况报告如下：</w:t>
      </w:r>
    </w:p>
    <w:p w14:paraId="71DEE3BB">
      <w:pPr>
        <w:keepNext w:val="0"/>
        <w:keepLines w:val="0"/>
        <w:pageBreakBefore w:val="0"/>
        <w:widowControl/>
        <w:numPr>
          <w:ilvl w:val="0"/>
          <w:numId w:val="1"/>
        </w:numPr>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工作开展情况</w:t>
      </w:r>
    </w:p>
    <w:p w14:paraId="077B61F8">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楷体" w:hAnsi="楷体" w:eastAsia="楷体" w:cs="楷体"/>
          <w:b w:val="0"/>
          <w:bCs w:val="0"/>
          <w:kern w:val="2"/>
          <w:sz w:val="32"/>
          <w:szCs w:val="32"/>
          <w:lang w:val="en-US" w:eastAsia="zh-CN" w:bidi="ar-SA"/>
        </w:rPr>
        <w:t>（一）强化法治引领，夯实依法治污思想根基。</w:t>
      </w:r>
      <w:r>
        <w:rPr>
          <w:rFonts w:hint="eastAsia" w:ascii="仿宋_GB2312" w:hAnsi="仿宋_GB2312" w:eastAsia="仿宋_GB2312" w:cs="仿宋_GB2312"/>
          <w:sz w:val="32"/>
          <w:szCs w:val="32"/>
          <w:lang w:val="en-US" w:eastAsia="zh-CN"/>
        </w:rPr>
        <w:t>一是扛牢主体责任，统筹推进法治建设，成立分局法治建设工作领导小组，将法治建设纳入分局年度工作计划、党建工作要点和绩效考核体系，做到与生态环境业务工作同部署、同推进、同考核、同落实。定期召开法治建设专题会议，层层压实班子成员“一岗双责”和各科室执法普法责任，形成主要领导亲自抓、分管领导具体抓、全体干部共同参与的法治建设工作格局。二是学法用法，提升法治素养能力。坚持把学法懂法作为履职前提，发挥“关键少数”示范引领作用，深入学习习近平法治思想、党的二十大及历次全会精神中关于法治建设的重要论述，组织党员干部系统学习《环境保护法》《大气污染防治法》《水污染防治法》《行政处罚法》等生态环境核心法律法规及配套规章。通过党组理论学习中心组专题学、法治讲座等多种形式，实现领导干部学法全覆盖、执法人员业务学习常态化。不断提升运用法治思维和法治方式解决生态环境实际问题的能力。三是</w:t>
      </w:r>
      <w:r>
        <w:rPr>
          <w:rFonts w:hint="eastAsia" w:ascii="仿宋_GB2312" w:hAnsi="仿宋_GB2312" w:eastAsia="仿宋_GB2312" w:cs="仿宋_GB2312"/>
          <w:kern w:val="2"/>
          <w:sz w:val="32"/>
          <w:szCs w:val="32"/>
          <w:lang w:val="en-US" w:eastAsia="zh-CN" w:bidi="ar-SA"/>
        </w:rPr>
        <w:t>落实法律顾问、公职律师制度，聘请专业法律顾问1名，将其全面纳入分局行政执法、文件审核、合同签订、案件处理等工作环节。为分局工作提供专业法律意见，有效消除法律风险隐患，确保行政行为合法合规。</w:t>
      </w:r>
    </w:p>
    <w:p w14:paraId="48F0DD9A">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kern w:val="2"/>
          <w:sz w:val="32"/>
          <w:szCs w:val="32"/>
          <w:lang w:val="en-US" w:eastAsia="zh-CN" w:bidi="ar-SA"/>
        </w:rPr>
      </w:pPr>
      <w:r>
        <w:rPr>
          <w:rFonts w:hint="eastAsia" w:ascii="楷体" w:hAnsi="楷体" w:eastAsia="楷体" w:cs="楷体"/>
          <w:b w:val="0"/>
          <w:bCs w:val="0"/>
          <w:kern w:val="2"/>
          <w:sz w:val="32"/>
          <w:szCs w:val="32"/>
          <w:lang w:val="en-US" w:eastAsia="zh-CN" w:bidi="ar-SA"/>
        </w:rPr>
        <w:t>（二）坚持依法行政，规范生态环境执法监管。</w:t>
      </w:r>
      <w:r>
        <w:rPr>
          <w:rFonts w:hint="eastAsia" w:ascii="仿宋_GB2312" w:hAnsi="仿宋_GB2312" w:eastAsia="仿宋_GB2312" w:cs="仿宋_GB2312"/>
          <w:kern w:val="2"/>
          <w:sz w:val="32"/>
          <w:szCs w:val="32"/>
          <w:lang w:val="en-US" w:eastAsia="zh-CN" w:bidi="ar-SA"/>
        </w:rPr>
        <w:t>一是全面贯彻落实行政执法“三项制度”，筑牢规范执法底线。通过移动手机等执法记录装备，全面推行音像记录，注重证据的真实性及完备性，做到执法全过程留痕和可回溯管理。所办理案件调查完成后均由法制股审核后再由案件审理小组进行审理，审核率达到100%，全年未发生因执法程序不当、适用法律错误引发的行政复议和行政诉讼案件。所有行政执法行为均通过政府网站、政务服务平台及时公示，严格落实“双随机、一公开”监管制度，制定年度随机抽查计划，完成144家企业现场随机检查，检查结果全部依法公示，抽查覆盖率、公示率均达到100%。二是提升执法效能，严厉打击环境违法行为。针对群众反映强烈突出环境问题，我局今年重点对工业废气治理、移动源尾气管控、第三方检测机构等关键领域开展了专项执法检查。全年共出动执法人员1200余人次，累计对317家涉气企业监督检查，排查出问题83项，指导并督促61家涉气企业完成问题闭环整改，从源头减少工业源大气污染物排放；累计检查柴油货车139辆次，发现问题车辆22辆，全部督促完成维修整改并复检合格；发现并督促2家存在检测操作不规范、数据记录不完整的机构完成整改，严厉打击出具虚假检测报告等违法行为，维护公平有序的检测市场秩序；销号整改生态环境部7轮现场监督帮扶组指出的68个环境问题，确保问题整改全闭环。同时，强化科技赋能执法，运用无人机、在线监测、大数据分析等技术手段，推行非现场、无感式执法，实现从“人海战术”向“智慧执法”转变，累计出动无人机28架次，精准发现环境违法线索1条，立行立改环境问题线索65条，切实提升执法精准度和效率。全年共立案26起，不予处罚1起，查封扣押9起，立案处罚16起；对涉嫌环境犯罪的案件依法移交公安2起。三是坚持宽严相济，彰显法治温度与力度。深入落实生态环境部关于规范执法、优化营商环境的要求，推行包容审慎监管，严格执行轻微违法行为依法不予处罚、首违不罚事项清单，全年对1家企业的轻微环境违法行为实施免罚，免罚金额3.08万元，做到“免罚不免责、处罚与教育相结合”。建立执法正面清单，将环保信用好、管理水平高的企业纳入正面清单，实行动态管理，落实现场免检、管控豁免等正向激励措施。同时，开展“执法+帮扶”专项行动，主动深入涉气企业开展环保指导服务317次，解决企业在污染治设施运行、排污许可申报等方面的难题400余项，推动企业从“被动守法”向“主动合规”转变。</w:t>
      </w:r>
    </w:p>
    <w:p w14:paraId="2AE9B4D9">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cs="黑体"/>
          <w:b w:val="0"/>
          <w:bCs w:val="0"/>
          <w:sz w:val="32"/>
          <w:szCs w:val="32"/>
          <w:lang w:val="en-US" w:eastAsia="zh-CN"/>
        </w:rPr>
      </w:pPr>
      <w:r>
        <w:rPr>
          <w:rFonts w:hint="eastAsia" w:ascii="楷体" w:hAnsi="楷体" w:eastAsia="楷体" w:cs="楷体"/>
          <w:b w:val="0"/>
          <w:bCs w:val="0"/>
          <w:kern w:val="2"/>
          <w:sz w:val="32"/>
          <w:szCs w:val="32"/>
          <w:lang w:val="en-US" w:eastAsia="zh-CN" w:bidi="ar-SA"/>
        </w:rPr>
        <w:t>（三）优化法治服务，助力经济绿色高质量发展。</w:t>
      </w:r>
      <w:r>
        <w:rPr>
          <w:rFonts w:hint="eastAsia" w:ascii="仿宋_GB2312" w:hAnsi="仿宋_GB2312" w:eastAsia="仿宋_GB2312" w:cs="仿宋_GB2312"/>
          <w:kern w:val="2"/>
          <w:sz w:val="32"/>
          <w:szCs w:val="32"/>
          <w:lang w:val="en-US" w:eastAsia="zh-CN" w:bidi="ar-SA"/>
        </w:rPr>
        <w:t>一是深化“放管服”改革，提升政务服务效能。严把“两高”项目环评审批关，实行“两高”项目清单管控，坚决遏制“两高”项目盲目发展。严格依法开展环境准入管理，</w:t>
      </w:r>
      <w:r>
        <w:rPr>
          <w:rFonts w:hint="eastAsia" w:ascii="仿宋_GB2312" w:hAnsi="仿宋_GB2312" w:eastAsia="仿宋_GB2312" w:cs="仿宋_GB2312"/>
          <w:sz w:val="32"/>
          <w:szCs w:val="32"/>
          <w:lang w:val="en-US" w:eastAsia="zh-CN"/>
        </w:rPr>
        <w:t>以“群众满意”为工作的出发点和落脚点，</w:t>
      </w:r>
      <w:r>
        <w:rPr>
          <w:rFonts w:hint="eastAsia" w:ascii="仿宋_GB2312" w:hAnsi="仿宋_GB2312" w:eastAsia="仿宋_GB2312" w:cs="仿宋_GB2312"/>
          <w:sz w:val="32"/>
          <w:szCs w:val="32"/>
          <w:lang w:eastAsia="zh-CN"/>
        </w:rPr>
        <w:t>全面落实“一个窗口受理”，积极推进“最多跑一次”和“不见面审批”。</w:t>
      </w:r>
      <w:r>
        <w:rPr>
          <w:rFonts w:hint="eastAsia" w:ascii="仿宋_GB2312" w:hAnsi="仿宋_GB2312" w:eastAsia="仿宋_GB2312" w:cs="仿宋_GB2312"/>
          <w:kern w:val="2"/>
          <w:sz w:val="32"/>
          <w:szCs w:val="32"/>
          <w:lang w:val="en-US" w:eastAsia="zh-CN" w:bidi="ar-SA"/>
        </w:rPr>
        <w:t>实现环评审批、排污许可“网上办、不见面、一次办”，全年共完成57个建设项目环评审批；办理排污许可证73家；指导排污登记类企业延续排污登记327家。审批办结率、群众满意率均达100%。二是妥善化解环境信访，维护群众合法权益。将环境信访问题化解作为法治为民的重要抓手，依法规范信访办理流程，畅通12345政务服务热线、全国生态环境信访投诉平台等信访渠道，做到信访投诉“件件有登记、事事有落实、件件有回复”，切实维护人民群众的环境权益，提升群众生态环境获得感。三是深化普法宣传，营造全民守法氛围。严格落实“谁执法谁普法”“谁服务谁普法”责任制，将法治宣传教育融入生态环境工作全过程。围绕“6·5世界环境日”“宪法宣传周”等重要节点，通过线上微信公众号、短视频平台和线下进企业、进社区、进校园等形式，开展生态环境法律法规宣传活动。今年共开展普法宣传8场，发放宣传资料5000余份，覆盖群众2万余人。针对企业开展精准定向普法，结合执法检查、帮扶指导，为辖区企业解读排污许可、危险废物管理、环保绩效评级等法规政策6次，引导企业树立“知法、守法、守规”的绿色发展理念，推动形成政府主导、企业主体、公众参与的生态环境法治宣传新格局。</w:t>
      </w:r>
    </w:p>
    <w:p w14:paraId="14C2C7A3">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二、存在问题</w:t>
      </w:r>
    </w:p>
    <w:p w14:paraId="59485715">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 w:val="0"/>
          <w:bCs w:val="0"/>
          <w:kern w:val="2"/>
          <w:sz w:val="32"/>
          <w:szCs w:val="32"/>
          <w:lang w:val="en-US" w:eastAsia="zh-CN" w:bidi="ar-SA"/>
        </w:rPr>
      </w:pPr>
      <w:r>
        <w:rPr>
          <w:rFonts w:hint="eastAsia" w:ascii="楷体" w:hAnsi="楷体" w:eastAsia="楷体" w:cs="楷体"/>
          <w:b w:val="0"/>
          <w:bCs w:val="0"/>
          <w:kern w:val="2"/>
          <w:sz w:val="32"/>
          <w:szCs w:val="32"/>
          <w:lang w:val="en-US" w:eastAsia="zh-CN" w:bidi="ar-SA"/>
        </w:rPr>
        <w:t>（一）法治思维运用仍需深化。</w:t>
      </w:r>
      <w:r>
        <w:rPr>
          <w:rFonts w:hint="eastAsia" w:ascii="仿宋_GB2312" w:hAnsi="仿宋_GB2312" w:eastAsia="仿宋_GB2312" w:cs="仿宋_GB2312"/>
          <w:b w:val="0"/>
          <w:bCs w:val="0"/>
          <w:kern w:val="2"/>
          <w:sz w:val="32"/>
          <w:szCs w:val="32"/>
          <w:lang w:val="en-US" w:eastAsia="zh-CN" w:bidi="ar-SA"/>
        </w:rPr>
        <w:t>面对生态环境领域出现的新情况、新问题，部分时候仍存在依赖行政手段的惯性，运用法治思维分析问题、解决问题的主动性和灵活性不足，行政指导、约谈提醒等多元化执法方式运用不够充分。</w:t>
      </w:r>
    </w:p>
    <w:p w14:paraId="409E6167">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 w:val="0"/>
          <w:bCs w:val="0"/>
          <w:kern w:val="2"/>
          <w:sz w:val="32"/>
          <w:szCs w:val="32"/>
          <w:lang w:val="en-US" w:eastAsia="zh-CN" w:bidi="ar-SA"/>
        </w:rPr>
      </w:pPr>
      <w:r>
        <w:rPr>
          <w:rFonts w:hint="eastAsia" w:ascii="楷体" w:hAnsi="楷体" w:eastAsia="楷体" w:cs="楷体"/>
          <w:b w:val="0"/>
          <w:bCs w:val="0"/>
          <w:kern w:val="2"/>
          <w:sz w:val="32"/>
          <w:szCs w:val="32"/>
          <w:lang w:val="en-US" w:eastAsia="zh-CN" w:bidi="ar-SA"/>
        </w:rPr>
        <w:t>（二）执法队伍能力有待提升。</w:t>
      </w:r>
      <w:r>
        <w:rPr>
          <w:rFonts w:hint="eastAsia" w:ascii="仿宋_GB2312" w:hAnsi="仿宋_GB2312" w:eastAsia="仿宋_GB2312" w:cs="仿宋_GB2312"/>
          <w:b w:val="0"/>
          <w:bCs w:val="0"/>
          <w:kern w:val="2"/>
          <w:sz w:val="32"/>
          <w:szCs w:val="32"/>
          <w:lang w:val="en-US" w:eastAsia="zh-CN" w:bidi="ar-SA"/>
        </w:rPr>
        <w:t>部分执法人员对生态环境专业法律法规、标准规范的理解不够深入，现场检查、调查取证等实战技能有待加强，面对复杂案件的处置能力不足，高素质专业化执法队伍建设仍需发力。</w:t>
      </w:r>
    </w:p>
    <w:p w14:paraId="7A9BD951">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 w:val="0"/>
          <w:bCs w:val="0"/>
          <w:kern w:val="2"/>
          <w:sz w:val="32"/>
          <w:szCs w:val="32"/>
          <w:lang w:val="en-US" w:eastAsia="zh-CN" w:bidi="ar-SA"/>
        </w:rPr>
      </w:pPr>
      <w:r>
        <w:rPr>
          <w:rFonts w:hint="eastAsia" w:ascii="楷体" w:hAnsi="楷体" w:eastAsia="楷体" w:cs="楷体"/>
          <w:b w:val="0"/>
          <w:bCs w:val="0"/>
          <w:kern w:val="2"/>
          <w:sz w:val="32"/>
          <w:szCs w:val="32"/>
          <w:lang w:val="en-US" w:eastAsia="zh-CN" w:bidi="ar-SA"/>
        </w:rPr>
        <w:t>（三）普法宣传质效仍需优化。</w:t>
      </w:r>
      <w:r>
        <w:rPr>
          <w:rFonts w:hint="eastAsia" w:ascii="仿宋_GB2312" w:hAnsi="仿宋_GB2312" w:eastAsia="仿宋_GB2312" w:cs="仿宋_GB2312"/>
          <w:b w:val="0"/>
          <w:bCs w:val="0"/>
          <w:kern w:val="2"/>
          <w:sz w:val="32"/>
          <w:szCs w:val="32"/>
          <w:lang w:val="en-US" w:eastAsia="zh-CN" w:bidi="ar-SA"/>
        </w:rPr>
        <w:t>普法宣传形式仍较为传统，线上新媒体宣传的创新性、吸引力不足，针对企业、公众的精准普法力度不够，部分企业环保守法意识仍需提升，全民生态环境法治共识尚未完全形成。</w:t>
      </w:r>
    </w:p>
    <w:p w14:paraId="36DDBB45">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 w:val="0"/>
          <w:bCs w:val="0"/>
          <w:kern w:val="2"/>
          <w:sz w:val="32"/>
          <w:szCs w:val="32"/>
          <w:lang w:val="en-US" w:eastAsia="zh-CN" w:bidi="ar-SA"/>
        </w:rPr>
      </w:pPr>
      <w:r>
        <w:rPr>
          <w:rFonts w:hint="eastAsia" w:ascii="楷体" w:hAnsi="楷体" w:eastAsia="楷体" w:cs="楷体"/>
          <w:b w:val="0"/>
          <w:bCs w:val="0"/>
          <w:kern w:val="2"/>
          <w:sz w:val="32"/>
          <w:szCs w:val="32"/>
          <w:lang w:val="en-US" w:eastAsia="zh-CN" w:bidi="ar-SA"/>
        </w:rPr>
        <w:t>（四）法治建设创新力度不足。</w:t>
      </w:r>
      <w:r>
        <w:rPr>
          <w:rFonts w:hint="eastAsia" w:ascii="仿宋_GB2312" w:hAnsi="仿宋_GB2312" w:eastAsia="仿宋_GB2312" w:cs="仿宋_GB2312"/>
          <w:b w:val="0"/>
          <w:bCs w:val="0"/>
          <w:kern w:val="2"/>
          <w:sz w:val="32"/>
          <w:szCs w:val="32"/>
          <w:lang w:val="en-US" w:eastAsia="zh-CN" w:bidi="ar-SA"/>
        </w:rPr>
        <w:t>在智慧执法、柔性执法、生态环境损害赔偿等方面的探索不够深入，法治建设与生态环境业务工作的融合度仍需提升，法治化营商环境建设的举措仍需进一步细化。</w:t>
      </w:r>
    </w:p>
    <w:p w14:paraId="3FECA65B">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三、下一步工作打算</w:t>
      </w:r>
    </w:p>
    <w:p w14:paraId="5E228E5A">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 w:val="0"/>
          <w:bCs w:val="0"/>
          <w:kern w:val="2"/>
          <w:sz w:val="32"/>
          <w:szCs w:val="32"/>
          <w:lang w:val="en-US" w:eastAsia="zh-CN" w:bidi="ar-SA"/>
        </w:rPr>
      </w:pPr>
      <w:r>
        <w:rPr>
          <w:rFonts w:hint="eastAsia" w:ascii="楷体" w:hAnsi="楷体" w:eastAsia="楷体" w:cs="楷体"/>
          <w:b w:val="0"/>
          <w:bCs w:val="0"/>
          <w:kern w:val="2"/>
          <w:sz w:val="32"/>
          <w:szCs w:val="32"/>
          <w:lang w:val="en-US" w:eastAsia="zh-CN" w:bidi="ar-SA"/>
        </w:rPr>
        <w:t>（一）持续强化法治思维，压实法治建设责任。</w:t>
      </w:r>
      <w:r>
        <w:rPr>
          <w:rFonts w:hint="eastAsia" w:ascii="仿宋_GB2312" w:hAnsi="仿宋_GB2312" w:eastAsia="仿宋_GB2312" w:cs="仿宋_GB2312"/>
          <w:b w:val="0"/>
          <w:bCs w:val="0"/>
          <w:kern w:val="2"/>
          <w:sz w:val="32"/>
          <w:szCs w:val="32"/>
          <w:lang w:val="en-US" w:eastAsia="zh-CN" w:bidi="ar-SA"/>
        </w:rPr>
        <w:t>深入学习贯彻习近平法治思想和习近平生态文明思想，持续抓好领导干部学法用法，严格落实党政主要负责人推进法治建设第一责任人职责，定期研究部署法治建设工作，完善法治建设考核评价机制，将考核结果与干部评优评先、绩效考核挂钩，层层压实法治建设责任。</w:t>
      </w:r>
    </w:p>
    <w:p w14:paraId="5BA94AB7">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w:t>
      </w:r>
      <w:r>
        <w:rPr>
          <w:rFonts w:hint="eastAsia" w:ascii="楷体" w:hAnsi="楷体" w:eastAsia="楷体" w:cs="楷体"/>
          <w:b w:val="0"/>
          <w:bCs w:val="0"/>
          <w:kern w:val="2"/>
          <w:sz w:val="32"/>
          <w:szCs w:val="32"/>
          <w:lang w:val="en-US" w:eastAsia="zh-CN" w:bidi="ar-SA"/>
        </w:rPr>
        <w:t>二）建强执法队伍，规范行政执法行为。</w:t>
      </w:r>
      <w:r>
        <w:rPr>
          <w:rFonts w:hint="eastAsia" w:ascii="仿宋_GB2312" w:hAnsi="仿宋_GB2312" w:eastAsia="仿宋_GB2312" w:cs="仿宋_GB2312"/>
          <w:b w:val="0"/>
          <w:bCs w:val="0"/>
          <w:kern w:val="2"/>
          <w:sz w:val="32"/>
          <w:szCs w:val="32"/>
          <w:lang w:val="en-US" w:eastAsia="zh-CN" w:bidi="ar-SA"/>
        </w:rPr>
        <w:t>加强执法队伍专业化建设，结合执法大练兵，制定系统的执法培训计划，围绕法律法规、执法程序、现场实操、智慧执法等内容，开展线上线下培训，组织执法技能比武、案卷评查等活动，提升执法人员的业务素质和实战能力，打造一支政治强、本领高、作风硬、敢担当的生态环境保护铁军。</w:t>
      </w:r>
    </w:p>
    <w:p w14:paraId="49523850">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楷体" w:hAnsi="楷体" w:eastAsia="楷体" w:cs="楷体"/>
          <w:b/>
          <w:bCs/>
          <w:kern w:val="2"/>
          <w:sz w:val="32"/>
          <w:szCs w:val="32"/>
          <w:lang w:val="en-US" w:eastAsia="zh-CN" w:bidi="ar-SA"/>
        </w:rPr>
      </w:pPr>
      <w:r>
        <w:rPr>
          <w:rFonts w:hint="eastAsia" w:ascii="楷体" w:hAnsi="楷体" w:eastAsia="楷体" w:cs="楷体"/>
          <w:b w:val="0"/>
          <w:bCs w:val="0"/>
          <w:kern w:val="2"/>
          <w:sz w:val="32"/>
          <w:szCs w:val="32"/>
          <w:lang w:val="en-US" w:eastAsia="zh-CN" w:bidi="ar-SA"/>
        </w:rPr>
        <w:t>（三）深化法治创新，优化法治化营商环境。</w:t>
      </w:r>
      <w:r>
        <w:rPr>
          <w:rFonts w:hint="eastAsia" w:ascii="仿宋_GB2312" w:hAnsi="仿宋_GB2312" w:eastAsia="仿宋_GB2312" w:cs="仿宋_GB2312"/>
          <w:b w:val="0"/>
          <w:bCs w:val="0"/>
          <w:kern w:val="2"/>
          <w:sz w:val="32"/>
          <w:szCs w:val="32"/>
          <w:lang w:val="en-US" w:eastAsia="zh-CN" w:bidi="ar-SA"/>
        </w:rPr>
        <w:t>深化“放管服”改革，持续优化环评审批、排污许可等政务服务流程，加强重点项目环评服务保障，推动环</w:t>
      </w:r>
      <w:r>
        <w:rPr>
          <w:rFonts w:hint="eastAsia" w:ascii="仿宋_GB2312" w:hAnsi="仿宋_GB2312" w:eastAsia="仿宋_GB2312" w:cs="仿宋_GB2312"/>
          <w:kern w:val="2"/>
          <w:sz w:val="32"/>
          <w:szCs w:val="32"/>
          <w:lang w:val="en-US" w:eastAsia="zh-CN" w:bidi="ar-SA"/>
        </w:rPr>
        <w:t>评与排污许可无缝衔接。并始终坚持以人民为中心的发展思想，聚焦群众反映强烈的突出环境问题，开展专项整治行动，依法严厉打击损害群众环境权益的违法行为。畅通环境信访渠道，规范信访办理流程，推动建立跨部门信访联动处置机制，加强与信访、住建、公安等部门的协作配合，形成信访问题化解合力，切实把矛盾化解在基层、解决在源头，维护辖区环境安全和社会稳定。</w:t>
      </w:r>
    </w:p>
    <w:p w14:paraId="64097F18">
      <w:pPr>
        <w:keepNext w:val="0"/>
        <w:keepLines w:val="0"/>
        <w:pageBreakBefore w:val="0"/>
        <w:numPr>
          <w:ilvl w:val="0"/>
          <w:numId w:val="0"/>
        </w:numPr>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kern w:val="2"/>
          <w:sz w:val="32"/>
          <w:szCs w:val="32"/>
          <w:lang w:val="en-US" w:eastAsia="zh-CN" w:bidi="ar-SA"/>
        </w:rPr>
      </w:pPr>
      <w:r>
        <w:rPr>
          <w:rFonts w:hint="default" w:ascii="楷体" w:hAnsi="楷体" w:eastAsia="楷体" w:cs="楷体"/>
          <w:b w:val="0"/>
          <w:bCs w:val="0"/>
          <w:kern w:val="2"/>
          <w:sz w:val="32"/>
          <w:szCs w:val="32"/>
          <w:lang w:val="en-US" w:eastAsia="zh-CN" w:bidi="ar-SA"/>
        </w:rPr>
        <w:t>(</w:t>
      </w:r>
      <w:r>
        <w:rPr>
          <w:rFonts w:hint="eastAsia" w:ascii="楷体" w:hAnsi="楷体" w:eastAsia="楷体" w:cs="楷体"/>
          <w:b w:val="0"/>
          <w:bCs w:val="0"/>
          <w:kern w:val="2"/>
          <w:sz w:val="32"/>
          <w:szCs w:val="32"/>
          <w:lang w:val="en-US" w:eastAsia="zh-CN" w:bidi="ar-SA"/>
        </w:rPr>
        <w:t>四）创新普法形式，提升法治宣传质效。</w:t>
      </w:r>
      <w:r>
        <w:rPr>
          <w:rFonts w:hint="eastAsia" w:ascii="仿宋_GB2312" w:hAnsi="仿宋_GB2312" w:eastAsia="仿宋_GB2312" w:cs="仿宋_GB2312"/>
          <w:kern w:val="2"/>
          <w:sz w:val="32"/>
          <w:szCs w:val="32"/>
          <w:lang w:val="en-US" w:eastAsia="zh-CN" w:bidi="ar-SA"/>
        </w:rPr>
        <w:t>严格落实“谁执法谁普法”责任制，创新普法宣传形式，充分运用微信、抖音、视频号等新媒体平台</w:t>
      </w:r>
      <w:r>
        <w:rPr>
          <w:rFonts w:hint="default" w:ascii="仿宋_GB2312" w:hAnsi="仿宋_GB2312" w:eastAsia="仿宋_GB2312" w:cs="仿宋_GB2312"/>
          <w:sz w:val="32"/>
          <w:szCs w:val="32"/>
          <w:lang w:val="en-US" w:eastAsia="zh-CN"/>
        </w:rPr>
        <w:t>开展普法</w:t>
      </w:r>
      <w:r>
        <w:rPr>
          <w:rFonts w:hint="eastAsia" w:ascii="仿宋_GB2312" w:hAnsi="仿宋_GB2312" w:eastAsia="仿宋_GB2312" w:cs="仿宋_GB2312"/>
          <w:sz w:val="32"/>
          <w:szCs w:val="32"/>
          <w:lang w:val="en-US" w:eastAsia="zh-CN"/>
        </w:rPr>
        <w:t>宣传</w:t>
      </w:r>
      <w:r>
        <w:rPr>
          <w:rFonts w:hint="default" w:ascii="仿宋_GB2312" w:hAnsi="仿宋_GB2312" w:eastAsia="仿宋_GB2312" w:cs="仿宋_GB2312"/>
          <w:sz w:val="32"/>
          <w:szCs w:val="32"/>
          <w:lang w:val="en-US" w:eastAsia="zh-CN"/>
        </w:rPr>
        <w:t>活动，</w:t>
      </w:r>
      <w:r>
        <w:rPr>
          <w:rFonts w:hint="eastAsia" w:ascii="仿宋_GB2312" w:hAnsi="仿宋_GB2312" w:eastAsia="仿宋_GB2312" w:cs="仿宋_GB2312"/>
          <w:kern w:val="2"/>
          <w:sz w:val="32"/>
          <w:szCs w:val="32"/>
          <w:lang w:val="en-US" w:eastAsia="zh-CN" w:bidi="ar-SA"/>
        </w:rPr>
        <w:t>围绕重要节点开展线下普法宣传活动，推动生态环境法律法规进社区、进乡村、进校园，营造全民学法、知法、守法、用法的良好氛围。</w:t>
      </w:r>
    </w:p>
    <w:p w14:paraId="13CBBD6A">
      <w:pPr>
        <w:pStyle w:val="8"/>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p>
    <w:p w14:paraId="6406C914">
      <w:pPr>
        <w:rPr>
          <w:rFonts w:hint="default" w:ascii="方正仿宋_GBK" w:hAnsi="方正仿宋_GBK" w:eastAsia="方正仿宋_GBK" w:cs="方正仿宋_GBK"/>
          <w:i w:val="0"/>
          <w:iCs w:val="0"/>
          <w:caps w:val="0"/>
          <w:color w:val="333333"/>
          <w:spacing w:val="0"/>
          <w:sz w:val="32"/>
          <w:szCs w:val="32"/>
          <w:shd w:val="clear" w:fill="FFFFFF"/>
          <w:lang w:val="en-US" w:eastAsia="zh-CN"/>
        </w:rPr>
      </w:pPr>
    </w:p>
    <w:sectPr>
      <w:pgSz w:w="11906" w:h="16838"/>
      <w:pgMar w:top="1440" w:right="1286" w:bottom="1318" w:left="16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
    <w:altName w:val="C059"/>
    <w:panose1 w:val="00000000000000000000"/>
    <w:charset w:val="00"/>
    <w:family w:val="auto"/>
    <w:pitch w:val="default"/>
    <w:sig w:usb0="00000000" w:usb1="00000000" w:usb2="00000000" w:usb3="00000000" w:csb0="00000001" w:csb1="00000000"/>
  </w:font>
  <w:font w:name="C059">
    <w:panose1 w:val="00000500000000000000"/>
    <w:charset w:val="00"/>
    <w:family w:val="auto"/>
    <w:pitch w:val="default"/>
    <w:sig w:usb0="00000287" w:usb1="00000800" w:usb2="00000000" w:usb3="00000000" w:csb0="6000009F" w:csb1="00000000"/>
  </w:font>
  <w:font w:name="方正小标宋简体">
    <w:panose1 w:val="02000000000000000000"/>
    <w:charset w:val="86"/>
    <w:family w:val="auto"/>
    <w:pitch w:val="default"/>
    <w:sig w:usb0="A00002BF" w:usb1="184F6CFA" w:usb2="00000012" w:usb3="00000000" w:csb0="00040001" w:csb1="00000000"/>
  </w:font>
  <w:font w:name="楷体">
    <w:altName w:val="方正楷体_GBK"/>
    <w:panose1 w:val="02010609060101010101"/>
    <w:charset w:val="86"/>
    <w:family w:val="auto"/>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auto"/>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27C4429"/>
    <w:multiLevelType w:val="singleLevel"/>
    <w:tmpl w:val="F27C4429"/>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FmNGEwMzVlNjM1OTQxOGE2OTAzODZmZjVmMGM5NzYifQ=="/>
  </w:docVars>
  <w:rsids>
    <w:rsidRoot w:val="2998539F"/>
    <w:rsid w:val="05571778"/>
    <w:rsid w:val="0B3E1DA0"/>
    <w:rsid w:val="0D572999"/>
    <w:rsid w:val="0EF97BEC"/>
    <w:rsid w:val="104757DF"/>
    <w:rsid w:val="15145780"/>
    <w:rsid w:val="172C3CFB"/>
    <w:rsid w:val="19AD7F51"/>
    <w:rsid w:val="1D244418"/>
    <w:rsid w:val="1E965458"/>
    <w:rsid w:val="2322550C"/>
    <w:rsid w:val="24553074"/>
    <w:rsid w:val="24ED2747"/>
    <w:rsid w:val="2998539F"/>
    <w:rsid w:val="2A7A17DF"/>
    <w:rsid w:val="30646375"/>
    <w:rsid w:val="34837A7F"/>
    <w:rsid w:val="34934336"/>
    <w:rsid w:val="37AC0B88"/>
    <w:rsid w:val="380556FD"/>
    <w:rsid w:val="3F8B60B2"/>
    <w:rsid w:val="4481262A"/>
    <w:rsid w:val="48B620CF"/>
    <w:rsid w:val="4BFE869E"/>
    <w:rsid w:val="4D355CB8"/>
    <w:rsid w:val="4F756840"/>
    <w:rsid w:val="4FE15841"/>
    <w:rsid w:val="55E77D6B"/>
    <w:rsid w:val="55FA7A9F"/>
    <w:rsid w:val="56EF81D6"/>
    <w:rsid w:val="59406189"/>
    <w:rsid w:val="5CEB6803"/>
    <w:rsid w:val="5E4C69A9"/>
    <w:rsid w:val="5FD51207"/>
    <w:rsid w:val="5FF2401C"/>
    <w:rsid w:val="600C0AFA"/>
    <w:rsid w:val="67FF8838"/>
    <w:rsid w:val="68926032"/>
    <w:rsid w:val="6B89440C"/>
    <w:rsid w:val="6FDF9359"/>
    <w:rsid w:val="702E0619"/>
    <w:rsid w:val="72BF1D67"/>
    <w:rsid w:val="777FDBC0"/>
    <w:rsid w:val="79A92324"/>
    <w:rsid w:val="79DEFF95"/>
    <w:rsid w:val="7A79761D"/>
    <w:rsid w:val="7AB6BEDB"/>
    <w:rsid w:val="7BDF570B"/>
    <w:rsid w:val="7DBF14C8"/>
    <w:rsid w:val="7DEE6983"/>
    <w:rsid w:val="7E62723B"/>
    <w:rsid w:val="7FBEBC9C"/>
    <w:rsid w:val="7FBFCA89"/>
    <w:rsid w:val="7FEB6966"/>
    <w:rsid w:val="9FF74C7C"/>
    <w:rsid w:val="B077FCE3"/>
    <w:rsid w:val="BD3FAAC9"/>
    <w:rsid w:val="DE664A78"/>
    <w:rsid w:val="DFBF9FB2"/>
    <w:rsid w:val="EFBD7ABB"/>
    <w:rsid w:val="EFFF0757"/>
    <w:rsid w:val="F7FF5C00"/>
    <w:rsid w:val="F7FF61A4"/>
    <w:rsid w:val="FB9E8E59"/>
    <w:rsid w:val="FBABA12A"/>
    <w:rsid w:val="FD9A42A1"/>
    <w:rsid w:val="FF7EEF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qFormat="1" w:unhideWhenUsed="0" w:uiPriority="9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outlineLvl w:val="0"/>
    </w:pPr>
    <w:rPr>
      <w:rFonts w:hint="eastAsia" w:ascii="宋体" w:hAnsi="宋体" w:eastAsia="宋体" w:cs="宋体"/>
      <w:kern w:val="44"/>
      <w:sz w:val="48"/>
      <w:szCs w:val="48"/>
      <w:lang w:val="en-US" w:eastAsia="zh-CN" w:bidi="ar"/>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0"/>
    <w:pPr>
      <w:jc w:val="center"/>
    </w:pPr>
  </w:style>
  <w:style w:type="paragraph" w:styleId="4">
    <w:name w:val="toc 3"/>
    <w:basedOn w:val="1"/>
    <w:next w:val="1"/>
    <w:qFormat/>
    <w:uiPriority w:val="99"/>
    <w:pPr>
      <w:spacing w:before="100" w:beforeAutospacing="1" w:after="100" w:afterAutospacing="1"/>
      <w:ind w:left="420"/>
    </w:pPr>
    <w:rPr>
      <w:rFonts w:ascii="??" w:hAnsi="??"/>
      <w:b/>
      <w:sz w:val="30"/>
      <w:szCs w:val="30"/>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paragraph" w:customStyle="1" w:styleId="8">
    <w:name w:val="正文首行缩进1"/>
    <w:basedOn w:val="3"/>
    <w:qFormat/>
    <w:uiPriority w:val="0"/>
    <w:pPr>
      <w:ind w:firstLine="420" w:firstLineChars="1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2976</Words>
  <Characters>3021</Characters>
  <Lines>0</Lines>
  <Paragraphs>0</Paragraphs>
  <TotalTime>4</TotalTime>
  <ScaleCrop>false</ScaleCrop>
  <LinksUpToDate>false</LinksUpToDate>
  <CharactersWithSpaces>3072</CharactersWithSpaces>
  <Application>WPS Office_12.1.2.23578_F1E327BC-269C-435d-A152-05C5408002CA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2024-02-29T10:04:00Z</dcterms:created>
  <dc:creator>王</dc:creator>
  <cp:lastModifiedBy>huanghe</cp:lastModifiedBy>
  <cp:lastPrinted>2026-01-14T19:23:00Z</cp:lastPrinted>
  <dcterms:modified xsi:type="dcterms:W3CDTF">2026-04-24T09:17:08Z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2052-12.1.2.23578</vt:lpwstr>
  </property>
  <property fmtid="{D5CDD505-2E9C-101B-9397-08002B2CF9AE}" pid="3" name="ICV">
    <vt:lpwstr>1930B7CB7AE415B9155964694455D4AF</vt:lpwstr>
  </property>
  <property fmtid="{D5CDD505-2E9C-101B-9397-08002B2CF9AE}" pid="4" name="KSOTemplateDocerSaveRecord">
    <vt:lpwstr>eyJoZGlkIjoiMDYxZmJlZDIxNTlhODMwMGYxZjEwNTczNDllY2NlYmEifQ==</vt:lpwstr>
  </property>
</Properties>
</file>