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DB90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建安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区市场监督管理局</w:t>
      </w:r>
    </w:p>
    <w:p w14:paraId="3EDCE2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关于2025年法治政府建设情况的报告</w:t>
      </w:r>
    </w:p>
    <w:p w14:paraId="285B6D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楷体" w:hAnsi="楷体" w:eastAsia="楷体" w:cs="楷体"/>
          <w:sz w:val="10"/>
          <w:szCs w:val="10"/>
          <w:lang w:val="en-US" w:eastAsia="zh-CN"/>
        </w:rPr>
      </w:pPr>
    </w:p>
    <w:p w14:paraId="69D88A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根据工作要求，现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将</w:t>
      </w:r>
      <w:r>
        <w:rPr>
          <w:rFonts w:hint="eastAsia" w:ascii="仿宋_GB2312" w:hAnsi="仿宋_GB2312" w:eastAsia="仿宋_GB2312" w:cs="仿宋_GB2312"/>
          <w:sz w:val="32"/>
          <w:szCs w:val="32"/>
        </w:rPr>
        <w:t>2025年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法治政府建设情况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报告</w:t>
      </w:r>
      <w:r>
        <w:rPr>
          <w:rFonts w:hint="eastAsia" w:ascii="仿宋_GB2312" w:hAnsi="仿宋_GB2312" w:eastAsia="仿宋_GB2312" w:cs="仿宋_GB2312"/>
          <w:sz w:val="32"/>
          <w:szCs w:val="32"/>
        </w:rPr>
        <w:t>如下：</w:t>
      </w:r>
    </w:p>
    <w:p w14:paraId="43D996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工作开展</w:t>
      </w:r>
      <w:r>
        <w:rPr>
          <w:rFonts w:hint="eastAsia" w:ascii="黑体" w:hAnsi="黑体" w:eastAsia="黑体" w:cs="黑体"/>
          <w:sz w:val="32"/>
          <w:szCs w:val="32"/>
        </w:rPr>
        <w:t>情况</w:t>
      </w:r>
    </w:p>
    <w:p w14:paraId="65AB09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2025年，在区委、区政府的坚强领导和区委依法治区办的有力指导下，建安区市场监督管理局坚持以习近平法治思想为根本遵循，锚定法治政府建设目标，扎实推动市场监管领域法治建设各项任务落地见效。</w:t>
      </w:r>
    </w:p>
    <w:p w14:paraId="07381E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（一）</w:t>
      </w:r>
      <w:r>
        <w:rPr>
          <w:rFonts w:hint="eastAsia" w:ascii="楷体" w:hAnsi="楷体" w:eastAsia="楷体" w:cs="楷体"/>
          <w:sz w:val="32"/>
          <w:szCs w:val="32"/>
        </w:rPr>
        <w:t>提高政治站位，筑牢法治建设根基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始终坚持将学习贯彻习近平法治思想作为首要政治任务，通过党组会、理论学习中心组学习、专题培训等形式，持续深化对法治建设重大意义、核心要义和实践要求的认识。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紧扣</w:t>
      </w:r>
      <w:r>
        <w:rPr>
          <w:rFonts w:hint="eastAsia" w:ascii="仿宋_GB2312" w:hAnsi="仿宋_GB2312" w:eastAsia="仿宋_GB2312" w:cs="仿宋_GB2312"/>
          <w:sz w:val="32"/>
          <w:szCs w:val="32"/>
        </w:rPr>
        <w:t>全市“首创必成”创建全国法治政府建设综合示范区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目标</w:t>
      </w:r>
      <w:r>
        <w:rPr>
          <w:rFonts w:hint="eastAsia" w:ascii="仿宋_GB2312" w:hAnsi="仿宋_GB2312" w:eastAsia="仿宋_GB2312" w:cs="仿宋_GB2312"/>
          <w:sz w:val="32"/>
          <w:szCs w:val="32"/>
        </w:rPr>
        <w:t>，成立创建工作领导小组，召开专题会议传达学习上级精神，结合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区域实际细化分解6大类24项任务清单，建立“周调度、月通报、责任到人”的推进机制。召开专题推进会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次，开展专项督查，推动整改问题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项，切实将法治建设责任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落到实处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620CF6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（二）聚焦规范执法，提升依法行政效能。</w:t>
      </w:r>
      <w:r>
        <w:rPr>
          <w:rFonts w:hint="eastAsia" w:ascii="仿宋_GB2312" w:hAnsi="仿宋_GB2312" w:eastAsia="仿宋_GB2312" w:cs="仿宋_GB2312"/>
          <w:sz w:val="32"/>
          <w:szCs w:val="32"/>
        </w:rPr>
        <w:t>严格遵循“法无授权不可为，法定职责必须为”原则，动态调整权责清单，确保执法依据清晰、权责统一。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一是全面严格落实行政执法“三项制度”。为一线执法人员配发</w:t>
      </w:r>
      <w:r>
        <w:rPr>
          <w:rFonts w:hint="eastAsia" w:ascii="仿宋_GB2312" w:hAnsi="仿宋_GB2312" w:eastAsia="仿宋_GB2312" w:cs="仿宋_GB2312"/>
          <w:sz w:val="32"/>
          <w:szCs w:val="32"/>
        </w:rPr>
        <w:t>执法记录仪45台，实现执法全过程留痕和可回溯管理；严格执行重大执法决定法制审核制度，建立审核台账；依托政府门户网站等平台，及时公示行政许可、行政处罚及“双随机、一公开”抽查结果等信息，保障执法权力在阳光下运行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二是深入推进监管模式创新。全面推行“综合查一次”与“双随机、一公开”监管深度融合，202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年以来累计减少重复检查639</w:t>
      </w:r>
      <w:r>
        <w:rPr>
          <w:rFonts w:hint="eastAsia" w:ascii="仿宋_GB2312" w:hAnsi="仿宋_GB2312" w:eastAsia="仿宋_GB2312" w:cs="仿宋_GB2312"/>
          <w:sz w:val="32"/>
          <w:szCs w:val="32"/>
        </w:rPr>
        <w:t>家次，有效减轻企业负担。实施基于信用风险等级的分类监管，对信用良好主体推行“守信免检”“守信少检”，对高风险企业加大抽查力度，实现精准监管与效能提升。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三是持续加大重点领域执法力度。以民生领域案件查办“铁拳</w:t>
      </w:r>
      <w:r>
        <w:rPr>
          <w:rFonts w:hint="eastAsia" w:ascii="仿宋_GB2312" w:hAnsi="仿宋_GB2312" w:eastAsia="仿宋_GB2312" w:cs="仿宋_GB2312"/>
          <w:sz w:val="32"/>
          <w:szCs w:val="32"/>
        </w:rPr>
        <w:t>”行动为抓手，聚焦食品、药品、产品质量、不正当竞争等群众关切领域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。健全行刑衔接机制，</w:t>
      </w:r>
      <w:r>
        <w:rPr>
          <w:rFonts w:hint="eastAsia" w:ascii="仿宋_GB2312" w:hAnsi="仿宋_GB2312" w:eastAsia="仿宋_GB2312" w:cs="仿宋_GB2312"/>
          <w:sz w:val="32"/>
          <w:szCs w:val="32"/>
        </w:rPr>
        <w:t>移送公安机关涉刑案件7起，有力维护了市场秩序和群众切身利益。</w:t>
      </w:r>
    </w:p>
    <w:p w14:paraId="512DF6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（三）践行执法为民，优化法治化营商环境。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坚持监管与服务并重，努力让执法既有力度又有温度。一是大力推行包容审慎监管。严格落实市场监管领域“四张清单”，2025年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通过行政指导、告诫约谈、责令改正等柔性方式处理案件65起，累计为102家经营主体减免或从轻处罚，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充分释放政策红利。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并同步提供信用修复指导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帮助96家企业完成信用修复，实现了“整改到位、信用重生”的良性循环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二是主动优化政务服务。学习借鉴“胖东来服务理念”，在食品摊贩备案、个体登记等事项中推行“承诺容缺+帮办代办”，办结时限压缩60%。编制发放《惠企政策一本通》《市场主体合规经营指南》等资料，组织召开“法治护航小微企业”座谈会，为企业提供精准合规指导。</w:t>
      </w:r>
    </w:p>
    <w:p w14:paraId="4774F0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四</w:t>
      </w:r>
      <w:r>
        <w:rPr>
          <w:rFonts w:hint="eastAsia" w:ascii="楷体" w:hAnsi="楷体" w:eastAsia="楷体" w:cs="楷体"/>
          <w:sz w:val="32"/>
          <w:szCs w:val="32"/>
        </w:rPr>
        <w:t>）强化普法宣传，夯实法治社会基础。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严格落实“谁执法谁普法”责任制。一是推动普法与执法深度融合。积极探索“送法+普法+执法+释法”一体化模式，要求执法人员在日常检查、案件回访中主动宣讲相关法律法规，将普法教育渗透到监管执法全过程。二是拓展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多元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宣传阵地。利用微信公众号、“法治宣传角”、沿街商铺电子屏等载体，滚动播放创建宣传标语，发布法治专题信息。紧抓“3·15”“4·26”等重要节点，组织开展形式多样的普法宣传活动，提升了市场主体和消费者的法治意识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是强化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执法能力建设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。建立综合执法与日常监管高效衔接机制，组建涵盖法律顾问、业务骨干的“执法专家库”，针对不同领域开展分类培训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期，培训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80人次，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全面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提升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执法队伍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专业化水平。</w:t>
      </w:r>
    </w:p>
    <w:p w14:paraId="2FA8E8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二、存在问题</w:t>
      </w:r>
    </w:p>
    <w:p w14:paraId="48DFB0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（一）法治思维与实践深度融合有待加强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机构改革后职能拓展，</w:t>
      </w:r>
      <w:r>
        <w:rPr>
          <w:rFonts w:hint="eastAsia" w:ascii="仿宋_GB2312" w:hAnsi="仿宋_GB2312" w:eastAsia="仿宋_GB2312" w:cs="仿宋_GB2312"/>
          <w:sz w:val="32"/>
          <w:szCs w:val="32"/>
        </w:rPr>
        <w:t>部分执法人员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应对</w:t>
      </w:r>
      <w:r>
        <w:rPr>
          <w:rFonts w:hint="eastAsia" w:ascii="仿宋_GB2312" w:hAnsi="仿宋_GB2312" w:eastAsia="仿宋_GB2312" w:cs="仿宋_GB2312"/>
          <w:sz w:val="32"/>
          <w:szCs w:val="32"/>
        </w:rPr>
        <w:t>新业态、新模式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的法治素养和履职能力不足</w:t>
      </w:r>
      <w:r>
        <w:rPr>
          <w:rFonts w:hint="eastAsia" w:ascii="仿宋_GB2312" w:hAnsi="仿宋_GB2312" w:eastAsia="仿宋_GB2312" w:cs="仿宋_GB2312"/>
          <w:sz w:val="32"/>
          <w:szCs w:val="32"/>
        </w:rPr>
        <w:t>。“法润许昌”等学习平台的运用成效需进一步巩固，学用结合不够紧密。</w:t>
      </w:r>
    </w:p>
    <w:p w14:paraId="795832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</w:rPr>
        <w:t>（二）执法规范化水平有待持续提升。</w:t>
      </w:r>
      <w:r>
        <w:rPr>
          <w:rFonts w:hint="eastAsia" w:ascii="仿宋_GB2312" w:hAnsi="仿宋_GB2312" w:eastAsia="仿宋_GB2312" w:cs="仿宋_GB2312"/>
          <w:sz w:val="32"/>
          <w:szCs w:val="32"/>
        </w:rPr>
        <w:t>虽然“三项制度”已全面推行，但在执法全过程记录的信息化管理和深度应用、执法公示的及时性和完整性、法制审核的精细化和标准化方面，仍有改进空间。部分领域执法文书制作、案卷归档的规范性需进一步加强。</w:t>
      </w:r>
    </w:p>
    <w:p w14:paraId="7B849F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（三）普法宣传的精准性和实效性有待增强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普法宣传的形式和内容与不同市场主体的个性化、差异化需求结合不够紧密，针对小微企业、个体工商户的普法措施针对性不强。利用新媒体开展互动式、案例式普法的创新力度不够，宣传效果有待进一步提升。</w:t>
      </w:r>
    </w:p>
    <w:p w14:paraId="37CB7C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三、下一步工作打算</w:t>
      </w:r>
    </w:p>
    <w:p w14:paraId="26D940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在深化法治学习教育上再下功夫。</w:t>
      </w:r>
      <w:r>
        <w:rPr>
          <w:rFonts w:hint="eastAsia" w:ascii="仿宋_GB2312" w:hAnsi="仿宋_GB2312" w:eastAsia="仿宋_GB2312" w:cs="仿宋_GB2312"/>
          <w:sz w:val="32"/>
          <w:szCs w:val="32"/>
        </w:rPr>
        <w:t>强化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总局网络学院、</w:t>
      </w:r>
      <w:r>
        <w:rPr>
          <w:rFonts w:hint="eastAsia" w:ascii="仿宋_GB2312" w:hAnsi="仿宋_GB2312" w:eastAsia="仿宋_GB2312" w:cs="仿宋_GB2312"/>
          <w:sz w:val="32"/>
          <w:szCs w:val="32"/>
        </w:rPr>
        <w:t>“法润许昌”等平台的实际运用考核，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加大执法培训力度，</w:t>
      </w:r>
      <w:r>
        <w:rPr>
          <w:rFonts w:hint="eastAsia" w:ascii="仿宋_GB2312" w:hAnsi="仿宋_GB2312" w:eastAsia="仿宋_GB2312" w:cs="仿宋_GB2312"/>
          <w:sz w:val="32"/>
          <w:szCs w:val="32"/>
        </w:rPr>
        <w:t>全面提升队伍法治素养和实战能力。</w:t>
      </w:r>
    </w:p>
    <w:p w14:paraId="19594A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</w:rPr>
        <w:t>（二）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在规范执法行为上再求突破。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健全行政执法责任制，通过行政执法专项检查、行政执法案卷评查等方式，强化执法人员对行政执法自由裁量权的约束，避免行政执法的随意性，确保公正执法。</w:t>
      </w:r>
    </w:p>
    <w:p w14:paraId="152B10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</w:rPr>
        <w:t>（三）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在提升普法时效上再出实招。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通过送法上门、重点宣讲、以案释法等方式，增强普法针对性，探索新媒体普法路径，制作通俗易懂的普法产品，提升市场主体守法意识和依法维权能力。</w:t>
      </w:r>
    </w:p>
    <w:p w14:paraId="73E57E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altName w:val="方正楷体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E76E48"/>
    <w:rsid w:val="06BB1780"/>
    <w:rsid w:val="0ACC0D02"/>
    <w:rsid w:val="0F803E6A"/>
    <w:rsid w:val="118E018F"/>
    <w:rsid w:val="129E3471"/>
    <w:rsid w:val="151255CB"/>
    <w:rsid w:val="17754D77"/>
    <w:rsid w:val="1AF51BB0"/>
    <w:rsid w:val="1B1863CE"/>
    <w:rsid w:val="1E917E41"/>
    <w:rsid w:val="28371458"/>
    <w:rsid w:val="29742BCF"/>
    <w:rsid w:val="2B1E5D59"/>
    <w:rsid w:val="36421CF5"/>
    <w:rsid w:val="4FCB27FC"/>
    <w:rsid w:val="541A3D11"/>
    <w:rsid w:val="57E83927"/>
    <w:rsid w:val="580C3592"/>
    <w:rsid w:val="5E6C40AB"/>
    <w:rsid w:val="5EBC58CF"/>
    <w:rsid w:val="5F316F54"/>
    <w:rsid w:val="67185648"/>
    <w:rsid w:val="6B443807"/>
    <w:rsid w:val="6BB65DBE"/>
    <w:rsid w:val="718248B1"/>
    <w:rsid w:val="73DD48EB"/>
    <w:rsid w:val="74FF16E5"/>
    <w:rsid w:val="7F7DBF03"/>
    <w:rsid w:val="AFB705ED"/>
    <w:rsid w:val="B79F8BC4"/>
    <w:rsid w:val="DFFDA702"/>
    <w:rsid w:val="E7FD19DE"/>
    <w:rsid w:val="EFF7199B"/>
    <w:rsid w:val="F1D59EAE"/>
    <w:rsid w:val="F77F425F"/>
    <w:rsid w:val="FADF74B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2204</Words>
  <Characters>2235</Characters>
  <Lines>0</Lines>
  <Paragraphs>0</Paragraphs>
  <TotalTime>117</TotalTime>
  <ScaleCrop>false</ScaleCrop>
  <LinksUpToDate>false</LinksUpToDate>
  <CharactersWithSpaces>2239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2026-01-14T00:42:00Z</dcterms:created>
  <dc:creator>jiguangshiwu</dc:creator>
  <cp:lastModifiedBy>huanghe</cp:lastModifiedBy>
  <cp:lastPrinted>2026-01-17T01:27:00Z</cp:lastPrinted>
  <dcterms:modified xsi:type="dcterms:W3CDTF">2026-04-24T09:15:12Z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KSOTemplateDocerSaveRecord">
    <vt:lpwstr>eyJoZGlkIjoiNTE0MWVlZGNmNWY0OWEwZWNhNTc5MTQyN2Q5ZGFlYjkiLCJ1c2VySWQiOiIyMTY0NDM4ODYifQ==</vt:lpwstr>
  </property>
  <property fmtid="{D5CDD505-2E9C-101B-9397-08002B2CF9AE}" pid="4" name="ICV">
    <vt:lpwstr>F9C1BB0A1CFED30E4DBADD698060EFA1</vt:lpwstr>
  </property>
</Properties>
</file>