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hint="eastAsia" w:ascii="黑体" w:hAnsi="宋体" w:eastAsia="黑体" w:cs="宋体"/>
          <w:kern w:val="0"/>
          <w:sz w:val="28"/>
          <w:szCs w:val="28"/>
          <w:highlight w:val="none"/>
        </w:rPr>
      </w:pPr>
    </w:p>
    <w:p>
      <w:pPr>
        <w:widowControl/>
        <w:jc w:val="left"/>
        <w:rPr>
          <w:rFonts w:hint="eastAsia" w:ascii="黑体" w:hAnsi="宋体" w:eastAsia="黑体" w:cs="宋体"/>
          <w:kern w:val="0"/>
          <w:sz w:val="28"/>
          <w:szCs w:val="28"/>
          <w:highlight w:val="none"/>
        </w:rPr>
      </w:pPr>
    </w:p>
    <w:p>
      <w:pPr>
        <w:widowControl/>
        <w:jc w:val="left"/>
        <w:rPr>
          <w:rFonts w:hint="eastAsia" w:ascii="黑体" w:hAnsi="宋体" w:eastAsia="黑体" w:cs="宋体"/>
          <w:kern w:val="0"/>
          <w:sz w:val="28"/>
          <w:szCs w:val="28"/>
          <w:highlight w:val="none"/>
        </w:rPr>
      </w:pPr>
    </w:p>
    <w:p>
      <w:pPr>
        <w:widowControl/>
        <w:jc w:val="left"/>
        <w:rPr>
          <w:rFonts w:hint="eastAsia" w:ascii="黑体" w:hAnsi="宋体" w:eastAsia="黑体" w:cs="宋体"/>
          <w:kern w:val="0"/>
          <w:sz w:val="28"/>
          <w:szCs w:val="28"/>
          <w:highlight w:val="none"/>
        </w:rPr>
      </w:pPr>
    </w:p>
    <w:p>
      <w:pPr>
        <w:widowControl/>
        <w:jc w:val="left"/>
        <w:rPr>
          <w:rFonts w:hint="eastAsia" w:ascii="黑体" w:hAnsi="宋体" w:eastAsia="黑体" w:cs="宋体"/>
          <w:kern w:val="0"/>
          <w:sz w:val="28"/>
          <w:szCs w:val="28"/>
          <w:highlight w:val="none"/>
        </w:rPr>
      </w:pPr>
    </w:p>
    <w:p>
      <w:pPr>
        <w:widowControl/>
        <w:jc w:val="left"/>
        <w:rPr>
          <w:rFonts w:hint="eastAsia" w:ascii="黑体" w:hAnsi="宋体" w:eastAsia="黑体" w:cs="宋体"/>
          <w:kern w:val="0"/>
          <w:sz w:val="28"/>
          <w:szCs w:val="28"/>
          <w:highlight w:val="none"/>
        </w:rPr>
      </w:pPr>
    </w:p>
    <w:p>
      <w:pPr>
        <w:widowControl/>
        <w:jc w:val="left"/>
        <w:rPr>
          <w:rFonts w:hint="eastAsia" w:ascii="黑体" w:hAnsi="宋体" w:eastAsia="黑体" w:cs="宋体"/>
          <w:kern w:val="0"/>
          <w:sz w:val="28"/>
          <w:szCs w:val="28"/>
          <w:highlight w:val="none"/>
        </w:rPr>
      </w:pPr>
    </w:p>
    <w:p>
      <w:pPr>
        <w:jc w:val="center"/>
        <w:rPr>
          <w:rFonts w:hint="eastAsia" w:ascii="黑体" w:hAnsi="黑体" w:eastAsia="黑体" w:cs="黑体"/>
          <w:sz w:val="52"/>
          <w:szCs w:val="52"/>
          <w:highlight w:val="none"/>
        </w:rPr>
      </w:pPr>
      <w:r>
        <w:rPr>
          <w:rFonts w:hint="eastAsia" w:ascii="黑体" w:hAnsi="黑体" w:eastAsia="黑体" w:cs="黑体"/>
          <w:sz w:val="52"/>
          <w:szCs w:val="52"/>
          <w:highlight w:val="none"/>
        </w:rPr>
        <w:t>20</w:t>
      </w:r>
      <w:r>
        <w:rPr>
          <w:rFonts w:ascii="黑体" w:hAnsi="黑体" w:eastAsia="黑体" w:cs="黑体"/>
          <w:sz w:val="52"/>
          <w:szCs w:val="52"/>
          <w:highlight w:val="none"/>
        </w:rPr>
        <w:t>21</w:t>
      </w:r>
      <w:r>
        <w:rPr>
          <w:rFonts w:hint="eastAsia" w:ascii="黑体" w:hAnsi="黑体" w:eastAsia="黑体" w:cs="黑体"/>
          <w:sz w:val="52"/>
          <w:szCs w:val="52"/>
          <w:highlight w:val="none"/>
        </w:rPr>
        <w:t>年度</w:t>
      </w:r>
    </w:p>
    <w:p>
      <w:pPr>
        <w:jc w:val="center"/>
        <w:rPr>
          <w:rFonts w:hint="eastAsia" w:ascii="黑体" w:hAnsi="黑体" w:eastAsia="黑体" w:cs="黑体"/>
          <w:sz w:val="52"/>
          <w:szCs w:val="52"/>
          <w:highlight w:val="none"/>
        </w:rPr>
      </w:pPr>
      <w:r>
        <w:rPr>
          <w:rFonts w:hint="eastAsia" w:ascii="黑体" w:hAnsi="黑体" w:eastAsia="黑体" w:cs="黑体"/>
          <w:sz w:val="52"/>
          <w:szCs w:val="52"/>
          <w:highlight w:val="none"/>
          <w:lang w:eastAsia="zh-CN"/>
        </w:rPr>
        <w:t>许昌市建安区地方海事处</w:t>
      </w:r>
      <w:r>
        <w:rPr>
          <w:rFonts w:hint="eastAsia" w:ascii="黑体" w:hAnsi="黑体" w:eastAsia="黑体" w:cs="黑体"/>
          <w:sz w:val="52"/>
          <w:szCs w:val="52"/>
          <w:highlight w:val="none"/>
        </w:rPr>
        <w:t>部门决算</w:t>
      </w:r>
    </w:p>
    <w:p>
      <w:pPr>
        <w:jc w:val="center"/>
        <w:rPr>
          <w:rFonts w:ascii="黑体" w:hAnsi="黑体" w:eastAsia="黑体" w:cs="黑体"/>
          <w:sz w:val="52"/>
          <w:szCs w:val="52"/>
          <w:highlight w:val="none"/>
        </w:rPr>
      </w:pPr>
    </w:p>
    <w:p>
      <w:pPr>
        <w:jc w:val="center"/>
        <w:rPr>
          <w:rFonts w:hint="eastAsia" w:ascii="黑体" w:hAnsi="黑体" w:eastAsia="黑体" w:cs="黑体"/>
          <w:sz w:val="52"/>
          <w:szCs w:val="52"/>
          <w:highlight w:val="none"/>
        </w:rPr>
      </w:pPr>
    </w:p>
    <w:p>
      <w:pPr>
        <w:jc w:val="center"/>
        <w:rPr>
          <w:rFonts w:hint="eastAsia" w:ascii="黑体" w:hAnsi="黑体" w:eastAsia="黑体" w:cs="黑体"/>
          <w:sz w:val="52"/>
          <w:szCs w:val="52"/>
          <w:highlight w:val="none"/>
        </w:rPr>
      </w:pPr>
    </w:p>
    <w:p>
      <w:pPr>
        <w:jc w:val="center"/>
        <w:rPr>
          <w:rFonts w:hint="eastAsia" w:ascii="黑体" w:hAnsi="黑体" w:eastAsia="黑体" w:cs="黑体"/>
          <w:sz w:val="52"/>
          <w:szCs w:val="52"/>
          <w:highlight w:val="none"/>
        </w:rPr>
      </w:pPr>
    </w:p>
    <w:p>
      <w:pPr>
        <w:jc w:val="center"/>
        <w:rPr>
          <w:rFonts w:hint="eastAsia" w:ascii="黑体" w:hAnsi="黑体" w:eastAsia="黑体" w:cs="黑体"/>
          <w:sz w:val="52"/>
          <w:szCs w:val="52"/>
          <w:highlight w:val="none"/>
        </w:rPr>
      </w:pPr>
    </w:p>
    <w:p>
      <w:pPr>
        <w:jc w:val="center"/>
        <w:rPr>
          <w:rFonts w:hint="eastAsia" w:ascii="黑体" w:hAnsi="黑体" w:eastAsia="黑体" w:cs="黑体"/>
          <w:sz w:val="52"/>
          <w:szCs w:val="52"/>
          <w:highlight w:val="none"/>
        </w:rPr>
      </w:pPr>
    </w:p>
    <w:p>
      <w:pPr>
        <w:jc w:val="center"/>
        <w:rPr>
          <w:rFonts w:hint="eastAsia" w:ascii="黑体" w:hAnsi="黑体" w:eastAsia="黑体" w:cs="黑体"/>
          <w:sz w:val="32"/>
          <w:szCs w:val="32"/>
          <w:highlight w:val="none"/>
        </w:rPr>
        <w:sectPr>
          <w:pgSz w:w="11906" w:h="16838"/>
          <w:pgMar w:top="1440" w:right="1531" w:bottom="1440" w:left="1587" w:header="850" w:footer="992" w:gutter="0"/>
          <w:pgNumType w:fmt="numberInDash"/>
          <w:cols w:space="720" w:num="1"/>
          <w:docGrid w:type="lines" w:linePitch="317" w:charSpace="0"/>
        </w:sectPr>
      </w:pPr>
      <w:r>
        <w:rPr>
          <w:rFonts w:hint="eastAsia" w:ascii="黑体" w:hAnsi="黑体" w:eastAsia="黑体" w:cs="黑体"/>
          <w:sz w:val="32"/>
          <w:szCs w:val="32"/>
          <w:highlight w:val="none"/>
        </w:rPr>
        <w:t>二〇二二年</w:t>
      </w:r>
      <w:r>
        <w:rPr>
          <w:rFonts w:hint="eastAsia" w:ascii="黑体" w:hAnsi="黑体" w:eastAsia="黑体" w:cs="黑体"/>
          <w:sz w:val="32"/>
          <w:szCs w:val="32"/>
          <w:highlight w:val="none"/>
          <w:lang w:eastAsia="zh-CN"/>
        </w:rPr>
        <w:t>九</w:t>
      </w:r>
      <w:r>
        <w:rPr>
          <w:rFonts w:hint="eastAsia" w:ascii="黑体" w:hAnsi="黑体" w:eastAsia="黑体" w:cs="黑体"/>
          <w:sz w:val="32"/>
          <w:szCs w:val="32"/>
          <w:highlight w:val="none"/>
        </w:rPr>
        <w:t>月</w:t>
      </w:r>
    </w:p>
    <w:p>
      <w:pPr>
        <w:jc w:val="center"/>
        <w:rPr>
          <w:rFonts w:ascii="黑体" w:hAnsi="黑体" w:eastAsia="黑体" w:cs="黑体"/>
          <w:sz w:val="36"/>
          <w:szCs w:val="36"/>
          <w:highlight w:val="none"/>
        </w:rPr>
      </w:pPr>
      <w:r>
        <w:rPr>
          <w:rFonts w:hint="eastAsia" w:ascii="黑体" w:hAnsi="黑体" w:eastAsia="黑体" w:cs="黑体"/>
          <w:sz w:val="36"/>
          <w:szCs w:val="36"/>
          <w:highlight w:val="none"/>
        </w:rPr>
        <w:t>目　　录</w:t>
      </w:r>
    </w:p>
    <w:p>
      <w:pPr>
        <w:jc w:val="left"/>
        <w:rPr>
          <w:rFonts w:ascii="黑体" w:hAnsi="黑体" w:eastAsia="黑体" w:cs="黑体"/>
          <w:sz w:val="32"/>
          <w:szCs w:val="32"/>
          <w:highlight w:val="none"/>
        </w:rPr>
      </w:pPr>
      <w:r>
        <w:rPr>
          <w:rFonts w:hint="eastAsia" w:ascii="黑体" w:hAnsi="黑体" w:eastAsia="黑体" w:cs="黑体"/>
          <w:sz w:val="32"/>
          <w:szCs w:val="32"/>
          <w:highlight w:val="none"/>
        </w:rPr>
        <w:t>第一部分　</w:t>
      </w:r>
      <w:r>
        <w:rPr>
          <w:rFonts w:hint="eastAsia" w:ascii="黑体" w:hAnsi="黑体" w:eastAsia="黑体" w:cs="黑体"/>
          <w:sz w:val="32"/>
          <w:szCs w:val="32"/>
          <w:highlight w:val="none"/>
          <w:lang w:eastAsia="zh-CN"/>
        </w:rPr>
        <w:t>许昌市建安区地方海事处</w:t>
      </w:r>
      <w:r>
        <w:rPr>
          <w:rFonts w:hint="eastAsia" w:ascii="黑体" w:hAnsi="黑体" w:eastAsia="黑体" w:cs="黑体"/>
          <w:sz w:val="32"/>
          <w:szCs w:val="32"/>
          <w:highlight w:val="none"/>
        </w:rPr>
        <w:t>概况</w:t>
      </w:r>
    </w:p>
    <w:p>
      <w:pPr>
        <w:numPr>
          <w:ilvl w:val="0"/>
          <w:numId w:val="1"/>
        </w:numPr>
        <w:ind w:firstLine="640" w:firstLineChars="200"/>
        <w:jc w:val="left"/>
        <w:rPr>
          <w:rFonts w:ascii="宋体" w:hAnsi="宋体" w:cs="宋体"/>
          <w:sz w:val="32"/>
          <w:szCs w:val="32"/>
          <w:highlight w:val="none"/>
        </w:rPr>
      </w:pPr>
      <w:r>
        <w:rPr>
          <w:rFonts w:hint="eastAsia" w:ascii="宋体" w:hAnsi="宋体" w:cs="宋体"/>
          <w:sz w:val="32"/>
          <w:szCs w:val="32"/>
          <w:highlight w:val="none"/>
        </w:rPr>
        <w:t>部门职责</w:t>
      </w:r>
    </w:p>
    <w:p>
      <w:pPr>
        <w:numPr>
          <w:ilvl w:val="0"/>
          <w:numId w:val="1"/>
        </w:numPr>
        <w:ind w:firstLine="640" w:firstLineChars="200"/>
        <w:jc w:val="left"/>
        <w:rPr>
          <w:rFonts w:ascii="宋体" w:hAnsi="宋体" w:cs="宋体"/>
          <w:sz w:val="32"/>
          <w:szCs w:val="32"/>
          <w:highlight w:val="none"/>
        </w:rPr>
      </w:pPr>
      <w:r>
        <w:rPr>
          <w:rFonts w:hint="eastAsia" w:ascii="宋体" w:hAnsi="宋体" w:cs="宋体"/>
          <w:sz w:val="32"/>
          <w:szCs w:val="32"/>
          <w:highlight w:val="none"/>
        </w:rPr>
        <w:t>机构设置</w:t>
      </w:r>
    </w:p>
    <w:p>
      <w:pPr>
        <w:jc w:val="left"/>
        <w:rPr>
          <w:rFonts w:ascii="黑体" w:hAnsi="黑体" w:eastAsia="黑体" w:cs="黑体"/>
          <w:sz w:val="32"/>
          <w:szCs w:val="32"/>
          <w:highlight w:val="none"/>
        </w:rPr>
      </w:pPr>
      <w:r>
        <w:rPr>
          <w:rFonts w:hint="eastAsia" w:ascii="黑体" w:hAnsi="黑体" w:eastAsia="黑体" w:cs="黑体"/>
          <w:sz w:val="32"/>
          <w:szCs w:val="32"/>
          <w:highlight w:val="none"/>
        </w:rPr>
        <w:t>第二部分  2021年度部门决算表</w:t>
      </w:r>
    </w:p>
    <w:p>
      <w:pPr>
        <w:ind w:firstLine="640" w:firstLineChars="200"/>
        <w:jc w:val="left"/>
        <w:rPr>
          <w:rFonts w:hint="eastAsia" w:ascii="宋体" w:hAnsi="宋体" w:cs="黑体"/>
          <w:sz w:val="32"/>
          <w:szCs w:val="32"/>
          <w:highlight w:val="none"/>
        </w:rPr>
      </w:pPr>
      <w:r>
        <w:rPr>
          <w:rFonts w:hint="eastAsia" w:ascii="宋体" w:hAnsi="宋体" w:cs="黑体"/>
          <w:sz w:val="32"/>
          <w:szCs w:val="32"/>
          <w:highlight w:val="none"/>
        </w:rPr>
        <w:t>一、收入支出决算总表</w:t>
      </w:r>
    </w:p>
    <w:p>
      <w:pPr>
        <w:ind w:firstLine="640" w:firstLineChars="200"/>
        <w:jc w:val="left"/>
        <w:rPr>
          <w:rFonts w:hint="eastAsia" w:ascii="宋体" w:hAnsi="宋体" w:cs="黑体"/>
          <w:sz w:val="32"/>
          <w:szCs w:val="32"/>
          <w:highlight w:val="none"/>
        </w:rPr>
      </w:pPr>
      <w:r>
        <w:rPr>
          <w:rFonts w:hint="eastAsia" w:ascii="宋体" w:hAnsi="宋体" w:cs="黑体"/>
          <w:sz w:val="32"/>
          <w:szCs w:val="32"/>
          <w:highlight w:val="none"/>
        </w:rPr>
        <w:t>二、收入决算表</w:t>
      </w:r>
    </w:p>
    <w:p>
      <w:pPr>
        <w:ind w:firstLine="640" w:firstLineChars="200"/>
        <w:jc w:val="left"/>
        <w:rPr>
          <w:rFonts w:hint="eastAsia" w:ascii="宋体" w:hAnsi="宋体" w:cs="黑体"/>
          <w:sz w:val="32"/>
          <w:szCs w:val="32"/>
          <w:highlight w:val="none"/>
        </w:rPr>
      </w:pPr>
      <w:r>
        <w:rPr>
          <w:rFonts w:hint="eastAsia" w:ascii="宋体" w:hAnsi="宋体" w:cs="黑体"/>
          <w:sz w:val="32"/>
          <w:szCs w:val="32"/>
          <w:highlight w:val="none"/>
        </w:rPr>
        <w:t>三、支出决算表</w:t>
      </w:r>
    </w:p>
    <w:p>
      <w:pPr>
        <w:ind w:firstLine="640" w:firstLineChars="200"/>
        <w:jc w:val="left"/>
        <w:rPr>
          <w:rFonts w:ascii="宋体" w:hAnsi="宋体" w:cs="黑体"/>
          <w:sz w:val="32"/>
          <w:szCs w:val="32"/>
          <w:highlight w:val="none"/>
        </w:rPr>
      </w:pPr>
      <w:r>
        <w:rPr>
          <w:rFonts w:hint="eastAsia" w:ascii="宋体" w:hAnsi="宋体" w:cs="黑体"/>
          <w:sz w:val="32"/>
          <w:szCs w:val="32"/>
          <w:highlight w:val="none"/>
        </w:rPr>
        <w:t>四、财政拨款收入支出决算总表</w:t>
      </w:r>
    </w:p>
    <w:p>
      <w:pPr>
        <w:ind w:firstLine="640" w:firstLineChars="200"/>
        <w:jc w:val="left"/>
        <w:rPr>
          <w:rFonts w:hint="eastAsia" w:ascii="宋体" w:hAnsi="宋体" w:cs="黑体"/>
          <w:sz w:val="32"/>
          <w:szCs w:val="32"/>
          <w:highlight w:val="none"/>
        </w:rPr>
      </w:pPr>
      <w:r>
        <w:rPr>
          <w:rFonts w:hint="eastAsia" w:ascii="宋体" w:hAnsi="宋体" w:cs="黑体"/>
          <w:sz w:val="32"/>
          <w:szCs w:val="32"/>
          <w:highlight w:val="none"/>
        </w:rPr>
        <w:t>五、一般公共预算财政拨款支出决算表</w:t>
      </w:r>
    </w:p>
    <w:p>
      <w:pPr>
        <w:ind w:firstLine="640" w:firstLineChars="200"/>
        <w:jc w:val="left"/>
        <w:rPr>
          <w:rFonts w:ascii="宋体" w:hAnsi="宋体" w:cs="黑体"/>
          <w:sz w:val="32"/>
          <w:szCs w:val="32"/>
          <w:highlight w:val="none"/>
        </w:rPr>
      </w:pPr>
      <w:r>
        <w:rPr>
          <w:rFonts w:hint="eastAsia" w:ascii="宋体" w:hAnsi="宋体" w:cs="黑体"/>
          <w:sz w:val="32"/>
          <w:szCs w:val="32"/>
          <w:highlight w:val="none"/>
        </w:rPr>
        <w:t>六、一般公共预算财政拨款基本支出决算明细表</w:t>
      </w:r>
    </w:p>
    <w:p>
      <w:pPr>
        <w:ind w:firstLine="640" w:firstLineChars="200"/>
        <w:jc w:val="left"/>
        <w:rPr>
          <w:rFonts w:hint="eastAsia" w:ascii="宋体" w:hAnsi="宋体" w:cs="黑体"/>
          <w:sz w:val="32"/>
          <w:szCs w:val="32"/>
          <w:highlight w:val="none"/>
        </w:rPr>
      </w:pPr>
      <w:r>
        <w:rPr>
          <w:rFonts w:hint="eastAsia" w:ascii="宋体" w:hAnsi="宋体" w:cs="黑体"/>
          <w:sz w:val="32"/>
          <w:szCs w:val="32"/>
          <w:highlight w:val="none"/>
        </w:rPr>
        <w:t>七、一般公共预算财政拨款“三公”经费支出决算表</w:t>
      </w:r>
    </w:p>
    <w:p>
      <w:pPr>
        <w:ind w:firstLine="640" w:firstLineChars="200"/>
        <w:jc w:val="left"/>
        <w:rPr>
          <w:rFonts w:hint="eastAsia" w:ascii="宋体" w:hAnsi="宋体" w:cs="黑体"/>
          <w:sz w:val="32"/>
          <w:szCs w:val="32"/>
          <w:highlight w:val="none"/>
        </w:rPr>
      </w:pPr>
      <w:r>
        <w:rPr>
          <w:rFonts w:hint="eastAsia" w:ascii="宋体" w:hAnsi="宋体" w:cs="黑体"/>
          <w:sz w:val="32"/>
          <w:szCs w:val="32"/>
          <w:highlight w:val="none"/>
        </w:rPr>
        <w:t>八、政府性基金预算财政拨款收入支出决算表</w:t>
      </w:r>
    </w:p>
    <w:p>
      <w:pPr>
        <w:jc w:val="left"/>
        <w:rPr>
          <w:rFonts w:hint="eastAsia" w:ascii="黑体" w:hAnsi="黑体" w:eastAsia="黑体" w:cs="黑体"/>
          <w:sz w:val="32"/>
          <w:szCs w:val="32"/>
          <w:highlight w:val="none"/>
        </w:rPr>
      </w:pPr>
      <w:r>
        <w:rPr>
          <w:rFonts w:hint="eastAsia" w:ascii="黑体" w:hAnsi="黑体" w:eastAsia="黑体" w:cs="黑体"/>
          <w:sz w:val="32"/>
          <w:szCs w:val="32"/>
          <w:highlight w:val="none"/>
        </w:rPr>
        <w:t>第三部分　</w:t>
      </w:r>
      <w:r>
        <w:rPr>
          <w:rFonts w:ascii="黑体" w:hAnsi="黑体" w:eastAsia="黑体" w:cs="黑体"/>
          <w:sz w:val="32"/>
          <w:szCs w:val="32"/>
          <w:highlight w:val="none"/>
        </w:rPr>
        <w:t>2021</w:t>
      </w:r>
      <w:r>
        <w:rPr>
          <w:rFonts w:hint="eastAsia" w:ascii="黑体" w:hAnsi="黑体" w:eastAsia="黑体" w:cs="黑体"/>
          <w:sz w:val="32"/>
          <w:szCs w:val="32"/>
          <w:highlight w:val="none"/>
        </w:rPr>
        <w:t>年度</w:t>
      </w:r>
      <w:r>
        <w:rPr>
          <w:rFonts w:ascii="黑体" w:hAnsi="黑体" w:eastAsia="黑体" w:cs="黑体"/>
          <w:sz w:val="32"/>
          <w:szCs w:val="32"/>
          <w:highlight w:val="none"/>
        </w:rPr>
        <w:t>部门</w:t>
      </w:r>
      <w:r>
        <w:rPr>
          <w:rFonts w:hint="eastAsia" w:ascii="黑体" w:hAnsi="黑体" w:eastAsia="黑体" w:cs="黑体"/>
          <w:sz w:val="32"/>
          <w:szCs w:val="32"/>
          <w:highlight w:val="none"/>
        </w:rPr>
        <w:t>决算情况说明</w:t>
      </w:r>
    </w:p>
    <w:p>
      <w:pPr>
        <w:ind w:firstLine="640" w:firstLineChars="200"/>
        <w:jc w:val="left"/>
        <w:rPr>
          <w:rFonts w:hint="eastAsia" w:ascii="宋体" w:hAnsi="宋体" w:cs="宋体"/>
          <w:sz w:val="32"/>
          <w:szCs w:val="32"/>
          <w:highlight w:val="none"/>
        </w:rPr>
      </w:pPr>
      <w:r>
        <w:rPr>
          <w:rFonts w:hint="eastAsia" w:ascii="宋体" w:hAnsi="宋体" w:cs="宋体"/>
          <w:sz w:val="32"/>
          <w:szCs w:val="32"/>
          <w:highlight w:val="none"/>
        </w:rPr>
        <w:t>一、收入支出决算总体情况说明</w:t>
      </w:r>
    </w:p>
    <w:p>
      <w:pPr>
        <w:ind w:firstLine="640" w:firstLineChars="200"/>
        <w:jc w:val="left"/>
        <w:rPr>
          <w:rFonts w:hint="eastAsia" w:ascii="宋体" w:hAnsi="宋体" w:cs="宋体"/>
          <w:sz w:val="32"/>
          <w:szCs w:val="32"/>
          <w:highlight w:val="none"/>
        </w:rPr>
      </w:pPr>
      <w:r>
        <w:rPr>
          <w:rFonts w:hint="eastAsia" w:ascii="宋体" w:hAnsi="宋体" w:cs="宋体"/>
          <w:sz w:val="32"/>
          <w:szCs w:val="32"/>
          <w:highlight w:val="none"/>
        </w:rPr>
        <w:t>二、收入决算情况说明</w:t>
      </w:r>
    </w:p>
    <w:p>
      <w:pPr>
        <w:ind w:firstLine="640" w:firstLineChars="200"/>
        <w:jc w:val="left"/>
        <w:rPr>
          <w:rFonts w:hint="eastAsia" w:ascii="宋体" w:hAnsi="宋体" w:cs="宋体"/>
          <w:sz w:val="32"/>
          <w:szCs w:val="32"/>
          <w:highlight w:val="none"/>
        </w:rPr>
      </w:pPr>
      <w:r>
        <w:rPr>
          <w:rFonts w:hint="eastAsia" w:ascii="宋体" w:hAnsi="宋体" w:cs="宋体"/>
          <w:sz w:val="32"/>
          <w:szCs w:val="32"/>
          <w:highlight w:val="none"/>
        </w:rPr>
        <w:t>三、支出决算情况说明</w:t>
      </w:r>
    </w:p>
    <w:p>
      <w:pPr>
        <w:ind w:firstLine="640" w:firstLineChars="200"/>
        <w:jc w:val="left"/>
        <w:rPr>
          <w:rFonts w:hint="eastAsia" w:ascii="宋体" w:hAnsi="宋体" w:cs="宋体"/>
          <w:sz w:val="32"/>
          <w:szCs w:val="32"/>
          <w:highlight w:val="none"/>
        </w:rPr>
      </w:pPr>
      <w:r>
        <w:rPr>
          <w:rFonts w:hint="eastAsia" w:ascii="宋体" w:hAnsi="宋体" w:cs="宋体"/>
          <w:sz w:val="32"/>
          <w:szCs w:val="32"/>
          <w:highlight w:val="none"/>
        </w:rPr>
        <w:t>四、财政拨款收入支出决算总体情况说明</w:t>
      </w:r>
    </w:p>
    <w:p>
      <w:pPr>
        <w:ind w:firstLine="640" w:firstLineChars="200"/>
        <w:jc w:val="left"/>
        <w:rPr>
          <w:rFonts w:hint="eastAsia" w:ascii="宋体" w:hAnsi="宋体" w:cs="宋体"/>
          <w:sz w:val="32"/>
          <w:szCs w:val="32"/>
          <w:highlight w:val="none"/>
        </w:rPr>
      </w:pPr>
      <w:r>
        <w:rPr>
          <w:rFonts w:hint="eastAsia" w:ascii="宋体" w:hAnsi="宋体" w:cs="宋体"/>
          <w:sz w:val="32"/>
          <w:szCs w:val="32"/>
          <w:highlight w:val="none"/>
        </w:rPr>
        <w:t>五、一般公共预算财政拨款支出决算情况说明</w:t>
      </w:r>
    </w:p>
    <w:p>
      <w:pPr>
        <w:ind w:firstLine="640" w:firstLineChars="200"/>
        <w:jc w:val="left"/>
        <w:rPr>
          <w:rFonts w:hint="eastAsia" w:ascii="宋体" w:hAnsi="宋体" w:cs="宋体"/>
          <w:sz w:val="32"/>
          <w:szCs w:val="32"/>
          <w:highlight w:val="none"/>
        </w:rPr>
      </w:pPr>
      <w:r>
        <w:rPr>
          <w:rFonts w:hint="eastAsia" w:ascii="宋体" w:hAnsi="宋体" w:cs="宋体"/>
          <w:sz w:val="32"/>
          <w:szCs w:val="32"/>
          <w:highlight w:val="none"/>
        </w:rPr>
        <w:t>六、一般公共预算财政拨款基本支出决算情况说明</w:t>
      </w:r>
    </w:p>
    <w:p>
      <w:pPr>
        <w:ind w:firstLine="640" w:firstLineChars="200"/>
        <w:jc w:val="left"/>
        <w:rPr>
          <w:rFonts w:hint="eastAsia" w:ascii="宋体" w:hAnsi="宋体" w:cs="宋体"/>
          <w:sz w:val="32"/>
          <w:szCs w:val="32"/>
          <w:highlight w:val="none"/>
        </w:rPr>
      </w:pPr>
      <w:r>
        <w:rPr>
          <w:rFonts w:hint="eastAsia" w:ascii="宋体" w:hAnsi="宋体" w:cs="宋体"/>
          <w:sz w:val="32"/>
          <w:szCs w:val="32"/>
          <w:highlight w:val="none"/>
        </w:rPr>
        <w:t>七、一般公共预算财政拨款“三公”经费支出决算情况说明</w:t>
      </w:r>
    </w:p>
    <w:p>
      <w:pPr>
        <w:ind w:firstLine="640" w:firstLineChars="200"/>
        <w:jc w:val="left"/>
        <w:rPr>
          <w:rFonts w:ascii="宋体" w:hAnsi="宋体" w:cs="宋体"/>
          <w:sz w:val="32"/>
          <w:szCs w:val="32"/>
          <w:highlight w:val="none"/>
        </w:rPr>
      </w:pPr>
      <w:r>
        <w:rPr>
          <w:rFonts w:hint="eastAsia" w:ascii="宋体" w:hAnsi="宋体" w:cs="宋体"/>
          <w:sz w:val="32"/>
          <w:szCs w:val="32"/>
          <w:highlight w:val="none"/>
        </w:rPr>
        <w:t>八、政府性基金预算财政拨款支出决算情况说明</w:t>
      </w:r>
    </w:p>
    <w:p>
      <w:pPr>
        <w:ind w:firstLine="640" w:firstLineChars="200"/>
        <w:jc w:val="left"/>
        <w:rPr>
          <w:rFonts w:hint="eastAsia" w:ascii="宋体" w:hAnsi="宋体" w:cs="宋体"/>
          <w:sz w:val="32"/>
          <w:szCs w:val="32"/>
          <w:highlight w:val="none"/>
        </w:rPr>
      </w:pPr>
      <w:r>
        <w:rPr>
          <w:rFonts w:hint="eastAsia" w:ascii="宋体" w:hAnsi="宋体" w:cs="宋体"/>
          <w:sz w:val="32"/>
          <w:szCs w:val="32"/>
          <w:highlight w:val="none"/>
        </w:rPr>
        <w:t>九、机关运行经费支出情况说明</w:t>
      </w:r>
    </w:p>
    <w:p>
      <w:pPr>
        <w:ind w:firstLine="640" w:firstLineChars="200"/>
        <w:jc w:val="left"/>
        <w:rPr>
          <w:rFonts w:hint="eastAsia" w:ascii="宋体" w:hAnsi="宋体" w:cs="宋体"/>
          <w:sz w:val="32"/>
          <w:szCs w:val="32"/>
          <w:highlight w:val="none"/>
        </w:rPr>
      </w:pPr>
      <w:r>
        <w:rPr>
          <w:rFonts w:hint="eastAsia" w:ascii="宋体" w:hAnsi="宋体" w:cs="宋体"/>
          <w:sz w:val="32"/>
          <w:szCs w:val="32"/>
          <w:highlight w:val="none"/>
        </w:rPr>
        <w:t>十、政府采购支出情况说明</w:t>
      </w:r>
    </w:p>
    <w:p>
      <w:pPr>
        <w:ind w:firstLine="640" w:firstLineChars="200"/>
        <w:jc w:val="left"/>
        <w:rPr>
          <w:rFonts w:ascii="宋体" w:hAnsi="宋体" w:cs="宋体"/>
          <w:sz w:val="32"/>
          <w:szCs w:val="32"/>
          <w:highlight w:val="none"/>
        </w:rPr>
      </w:pPr>
      <w:r>
        <w:rPr>
          <w:rFonts w:hint="eastAsia" w:ascii="宋体" w:hAnsi="宋体" w:cs="宋体"/>
          <w:sz w:val="32"/>
          <w:szCs w:val="32"/>
          <w:highlight w:val="none"/>
        </w:rPr>
        <w:t>十一、国有资产占用情况说明</w:t>
      </w:r>
    </w:p>
    <w:p>
      <w:pPr>
        <w:ind w:firstLine="640" w:firstLineChars="200"/>
        <w:jc w:val="left"/>
        <w:rPr>
          <w:rFonts w:hint="eastAsia" w:ascii="宋体" w:hAnsi="宋体" w:cs="宋体"/>
          <w:sz w:val="32"/>
          <w:szCs w:val="32"/>
          <w:highlight w:val="none"/>
        </w:rPr>
      </w:pPr>
      <w:r>
        <w:rPr>
          <w:rFonts w:hint="eastAsia" w:ascii="宋体" w:hAnsi="宋体" w:cs="宋体"/>
          <w:sz w:val="32"/>
          <w:szCs w:val="32"/>
          <w:highlight w:val="none"/>
        </w:rPr>
        <w:t>十二、预算绩效情况说明</w:t>
      </w:r>
    </w:p>
    <w:p>
      <w:pPr>
        <w:jc w:val="left"/>
        <w:rPr>
          <w:rFonts w:hint="eastAsia" w:ascii="黑体" w:hAnsi="黑体" w:eastAsia="黑体" w:cs="黑体"/>
          <w:sz w:val="32"/>
          <w:szCs w:val="32"/>
          <w:highlight w:val="none"/>
        </w:rPr>
      </w:pPr>
      <w:r>
        <w:rPr>
          <w:rFonts w:hint="eastAsia" w:ascii="黑体" w:hAnsi="黑体" w:eastAsia="黑体" w:cs="黑体"/>
          <w:sz w:val="32"/>
          <w:szCs w:val="32"/>
          <w:highlight w:val="none"/>
        </w:rPr>
        <w:t>第四部分　　名词解释</w:t>
      </w:r>
    </w:p>
    <w:p>
      <w:pPr>
        <w:widowControl/>
        <w:jc w:val="left"/>
        <w:rPr>
          <w:rFonts w:hint="eastAsia" w:ascii="黑体" w:hAnsi="宋体" w:eastAsia="黑体" w:cs="宋体"/>
          <w:kern w:val="0"/>
          <w:sz w:val="28"/>
          <w:szCs w:val="28"/>
          <w:highlight w:val="none"/>
        </w:rPr>
      </w:pPr>
    </w:p>
    <w:p>
      <w:pPr>
        <w:widowControl/>
        <w:jc w:val="left"/>
        <w:rPr>
          <w:rFonts w:hint="eastAsia" w:ascii="黑体" w:hAnsi="宋体" w:eastAsia="黑体" w:cs="宋体"/>
          <w:kern w:val="0"/>
          <w:sz w:val="28"/>
          <w:szCs w:val="28"/>
          <w:highlight w:val="none"/>
        </w:rPr>
      </w:pPr>
    </w:p>
    <w:p>
      <w:pPr>
        <w:widowControl/>
        <w:jc w:val="left"/>
        <w:rPr>
          <w:rFonts w:ascii="黑体" w:hAnsi="宋体" w:eastAsia="黑体" w:cs="宋体"/>
          <w:kern w:val="0"/>
          <w:sz w:val="28"/>
          <w:szCs w:val="28"/>
          <w:highlight w:val="none"/>
        </w:rPr>
      </w:pPr>
    </w:p>
    <w:p>
      <w:pPr>
        <w:widowControl/>
        <w:jc w:val="left"/>
        <w:rPr>
          <w:rFonts w:ascii="黑体" w:hAnsi="宋体" w:eastAsia="黑体" w:cs="宋体"/>
          <w:kern w:val="0"/>
          <w:sz w:val="28"/>
          <w:szCs w:val="28"/>
          <w:highlight w:val="none"/>
        </w:rPr>
      </w:pPr>
    </w:p>
    <w:p>
      <w:pPr>
        <w:widowControl/>
        <w:jc w:val="left"/>
        <w:rPr>
          <w:rFonts w:ascii="黑体" w:hAnsi="宋体" w:eastAsia="黑体" w:cs="宋体"/>
          <w:kern w:val="0"/>
          <w:sz w:val="28"/>
          <w:szCs w:val="28"/>
          <w:highlight w:val="none"/>
        </w:rPr>
      </w:pPr>
    </w:p>
    <w:p>
      <w:pPr>
        <w:widowControl/>
        <w:jc w:val="left"/>
        <w:rPr>
          <w:rFonts w:ascii="黑体" w:hAnsi="宋体" w:eastAsia="黑体" w:cs="宋体"/>
          <w:kern w:val="0"/>
          <w:sz w:val="28"/>
          <w:szCs w:val="28"/>
          <w:highlight w:val="none"/>
        </w:rPr>
      </w:pPr>
    </w:p>
    <w:p>
      <w:pPr>
        <w:widowControl/>
        <w:jc w:val="left"/>
        <w:rPr>
          <w:rFonts w:ascii="黑体" w:hAnsi="宋体" w:eastAsia="黑体" w:cs="宋体"/>
          <w:kern w:val="0"/>
          <w:sz w:val="28"/>
          <w:szCs w:val="28"/>
          <w:highlight w:val="none"/>
        </w:rPr>
      </w:pPr>
    </w:p>
    <w:p>
      <w:pPr>
        <w:widowControl/>
        <w:jc w:val="left"/>
        <w:rPr>
          <w:rFonts w:ascii="黑体" w:hAnsi="宋体" w:eastAsia="黑体" w:cs="宋体"/>
          <w:kern w:val="0"/>
          <w:sz w:val="28"/>
          <w:szCs w:val="28"/>
          <w:highlight w:val="none"/>
        </w:rPr>
      </w:pPr>
    </w:p>
    <w:p>
      <w:pPr>
        <w:widowControl/>
        <w:jc w:val="left"/>
        <w:rPr>
          <w:rFonts w:ascii="黑体" w:hAnsi="宋体" w:eastAsia="黑体" w:cs="宋体"/>
          <w:kern w:val="0"/>
          <w:sz w:val="28"/>
          <w:szCs w:val="28"/>
          <w:highlight w:val="none"/>
        </w:rPr>
      </w:pPr>
    </w:p>
    <w:p>
      <w:pPr>
        <w:widowControl/>
        <w:jc w:val="left"/>
        <w:rPr>
          <w:rFonts w:hint="eastAsia" w:ascii="黑体" w:hAnsi="宋体" w:eastAsia="黑体" w:cs="宋体"/>
          <w:kern w:val="0"/>
          <w:sz w:val="28"/>
          <w:szCs w:val="28"/>
          <w:highlight w:val="none"/>
        </w:rPr>
      </w:pPr>
    </w:p>
    <w:p>
      <w:pPr>
        <w:widowControl/>
        <w:jc w:val="left"/>
        <w:rPr>
          <w:rFonts w:hint="eastAsia" w:ascii="黑体" w:hAnsi="宋体" w:eastAsia="黑体" w:cs="宋体"/>
          <w:kern w:val="0"/>
          <w:sz w:val="28"/>
          <w:szCs w:val="28"/>
          <w:highlight w:val="none"/>
        </w:rPr>
      </w:pPr>
    </w:p>
    <w:p>
      <w:pPr>
        <w:widowControl/>
        <w:jc w:val="left"/>
        <w:rPr>
          <w:rFonts w:hint="eastAsia" w:ascii="黑体" w:hAnsi="宋体" w:eastAsia="黑体" w:cs="宋体"/>
          <w:kern w:val="0"/>
          <w:sz w:val="28"/>
          <w:szCs w:val="28"/>
          <w:highlight w:val="none"/>
        </w:rPr>
      </w:pPr>
    </w:p>
    <w:p>
      <w:pPr>
        <w:widowControl/>
        <w:jc w:val="left"/>
        <w:rPr>
          <w:rFonts w:ascii="黑体" w:hAnsi="宋体" w:eastAsia="黑体" w:cs="宋体"/>
          <w:kern w:val="0"/>
          <w:sz w:val="28"/>
          <w:szCs w:val="28"/>
          <w:highlight w:val="none"/>
        </w:rPr>
      </w:pPr>
    </w:p>
    <w:p>
      <w:pPr>
        <w:widowControl/>
        <w:jc w:val="left"/>
        <w:rPr>
          <w:rFonts w:ascii="黑体" w:hAnsi="宋体" w:eastAsia="黑体" w:cs="宋体"/>
          <w:kern w:val="0"/>
          <w:sz w:val="28"/>
          <w:szCs w:val="28"/>
          <w:highlight w:val="none"/>
        </w:rPr>
      </w:pPr>
    </w:p>
    <w:p>
      <w:pPr>
        <w:widowControl/>
        <w:jc w:val="left"/>
        <w:rPr>
          <w:rFonts w:hint="eastAsia" w:ascii="黑体" w:hAnsi="宋体" w:eastAsia="黑体" w:cs="宋体"/>
          <w:kern w:val="0"/>
          <w:sz w:val="28"/>
          <w:szCs w:val="28"/>
          <w:highlight w:val="none"/>
        </w:rPr>
      </w:pPr>
    </w:p>
    <w:p>
      <w:pPr>
        <w:widowControl/>
        <w:jc w:val="both"/>
        <w:outlineLvl w:val="0"/>
        <w:rPr>
          <w:rFonts w:hint="eastAsia" w:ascii="黑体" w:hAnsi="黑体" w:eastAsia="黑体" w:cs="黑体"/>
          <w:sz w:val="48"/>
          <w:szCs w:val="48"/>
          <w:highlight w:val="none"/>
        </w:rPr>
      </w:pPr>
    </w:p>
    <w:p>
      <w:pPr>
        <w:widowControl/>
        <w:jc w:val="center"/>
        <w:outlineLvl w:val="0"/>
        <w:rPr>
          <w:rFonts w:hint="eastAsia" w:ascii="黑体" w:hAnsi="黑体" w:eastAsia="黑体" w:cs="黑体"/>
          <w:sz w:val="48"/>
          <w:szCs w:val="48"/>
          <w:highlight w:val="none"/>
        </w:rPr>
      </w:pPr>
    </w:p>
    <w:p>
      <w:pPr>
        <w:widowControl/>
        <w:jc w:val="center"/>
        <w:outlineLvl w:val="0"/>
        <w:rPr>
          <w:rFonts w:hint="eastAsia" w:ascii="黑体" w:hAnsi="黑体" w:eastAsia="黑体" w:cs="黑体"/>
          <w:sz w:val="48"/>
          <w:szCs w:val="48"/>
          <w:highlight w:val="none"/>
        </w:rPr>
      </w:pPr>
    </w:p>
    <w:p>
      <w:pPr>
        <w:widowControl/>
        <w:jc w:val="center"/>
        <w:outlineLvl w:val="0"/>
        <w:rPr>
          <w:rFonts w:hint="eastAsia" w:ascii="黑体" w:hAnsi="黑体" w:eastAsia="黑体" w:cs="黑体"/>
          <w:sz w:val="48"/>
          <w:szCs w:val="48"/>
          <w:highlight w:val="none"/>
        </w:rPr>
      </w:pPr>
    </w:p>
    <w:p>
      <w:pPr>
        <w:widowControl/>
        <w:jc w:val="center"/>
        <w:outlineLvl w:val="0"/>
        <w:rPr>
          <w:rFonts w:hint="eastAsia" w:ascii="黑体" w:hAnsi="黑体" w:eastAsia="黑体" w:cs="黑体"/>
          <w:sz w:val="48"/>
          <w:szCs w:val="48"/>
          <w:highlight w:val="none"/>
        </w:rPr>
      </w:pPr>
    </w:p>
    <w:p>
      <w:pPr>
        <w:widowControl/>
        <w:jc w:val="center"/>
        <w:outlineLvl w:val="0"/>
        <w:rPr>
          <w:rFonts w:hint="eastAsia" w:ascii="黑体" w:hAnsi="黑体" w:eastAsia="黑体" w:cs="黑体"/>
          <w:sz w:val="48"/>
          <w:szCs w:val="48"/>
          <w:highlight w:val="none"/>
        </w:rPr>
      </w:pPr>
    </w:p>
    <w:p>
      <w:pPr>
        <w:widowControl/>
        <w:numPr>
          <w:ilvl w:val="0"/>
          <w:numId w:val="2"/>
        </w:numPr>
        <w:jc w:val="center"/>
        <w:outlineLvl w:val="0"/>
        <w:rPr>
          <w:rFonts w:hint="eastAsia" w:ascii="黑体" w:hAnsi="黑体" w:eastAsia="黑体" w:cs="黑体"/>
          <w:sz w:val="48"/>
          <w:szCs w:val="48"/>
          <w:highlight w:val="none"/>
          <w:lang w:eastAsia="zh-CN"/>
        </w:rPr>
      </w:pPr>
      <w:r>
        <w:rPr>
          <w:rFonts w:hint="eastAsia" w:ascii="黑体" w:hAnsi="黑体" w:eastAsia="黑体" w:cs="黑体"/>
          <w:sz w:val="48"/>
          <w:szCs w:val="48"/>
          <w:highlight w:val="none"/>
        </w:rPr>
        <w:t xml:space="preserve"> </w:t>
      </w:r>
      <w:r>
        <w:rPr>
          <w:rFonts w:hint="eastAsia" w:ascii="黑体" w:hAnsi="黑体" w:eastAsia="黑体" w:cs="黑体"/>
          <w:sz w:val="48"/>
          <w:szCs w:val="48"/>
          <w:highlight w:val="none"/>
          <w:lang w:eastAsia="zh-CN"/>
        </w:rPr>
        <w:t>许昌市建安区地方海事处</w:t>
      </w:r>
    </w:p>
    <w:p>
      <w:pPr>
        <w:widowControl/>
        <w:numPr>
          <w:ilvl w:val="0"/>
          <w:numId w:val="0"/>
        </w:numPr>
        <w:ind w:firstLine="4800" w:firstLineChars="1000"/>
        <w:jc w:val="both"/>
        <w:outlineLvl w:val="0"/>
        <w:rPr>
          <w:rFonts w:hint="eastAsia" w:ascii="黑体" w:hAnsi="宋体" w:eastAsia="黑体" w:cs="宋体"/>
          <w:kern w:val="0"/>
          <w:sz w:val="28"/>
          <w:szCs w:val="28"/>
          <w:highlight w:val="none"/>
        </w:rPr>
      </w:pPr>
      <w:r>
        <w:rPr>
          <w:rFonts w:hint="eastAsia" w:ascii="黑体" w:hAnsi="黑体" w:eastAsia="黑体" w:cs="黑体"/>
          <w:sz w:val="48"/>
          <w:szCs w:val="48"/>
          <w:highlight w:val="none"/>
        </w:rPr>
        <w:t>概况</w:t>
      </w:r>
    </w:p>
    <w:p>
      <w:pPr>
        <w:widowControl/>
        <w:ind w:firstLine="640" w:firstLineChars="200"/>
        <w:jc w:val="left"/>
        <w:outlineLvl w:val="1"/>
        <w:rPr>
          <w:rFonts w:ascii="黑体" w:hAnsi="黑体" w:eastAsia="黑体" w:cs="黑体"/>
          <w:kern w:val="0"/>
          <w:sz w:val="32"/>
          <w:szCs w:val="32"/>
          <w:highlight w:val="none"/>
        </w:rPr>
      </w:pPr>
    </w:p>
    <w:p>
      <w:pPr>
        <w:widowControl/>
        <w:ind w:firstLine="640" w:firstLineChars="200"/>
        <w:jc w:val="left"/>
        <w:outlineLvl w:val="1"/>
        <w:rPr>
          <w:rFonts w:ascii="黑体" w:hAnsi="黑体" w:eastAsia="黑体" w:cs="黑体"/>
          <w:kern w:val="0"/>
          <w:sz w:val="32"/>
          <w:szCs w:val="32"/>
          <w:highlight w:val="none"/>
        </w:rPr>
      </w:pPr>
    </w:p>
    <w:p>
      <w:pPr>
        <w:widowControl/>
        <w:ind w:firstLine="640" w:firstLineChars="200"/>
        <w:jc w:val="left"/>
        <w:outlineLvl w:val="1"/>
        <w:rPr>
          <w:rFonts w:ascii="黑体" w:hAnsi="黑体" w:eastAsia="黑体" w:cs="黑体"/>
          <w:kern w:val="0"/>
          <w:sz w:val="32"/>
          <w:szCs w:val="32"/>
          <w:highlight w:val="none"/>
        </w:rPr>
      </w:pPr>
    </w:p>
    <w:p>
      <w:pPr>
        <w:widowControl/>
        <w:ind w:firstLine="640" w:firstLineChars="200"/>
        <w:jc w:val="left"/>
        <w:outlineLvl w:val="1"/>
        <w:rPr>
          <w:rFonts w:ascii="黑体" w:hAnsi="黑体" w:eastAsia="黑体" w:cs="黑体"/>
          <w:kern w:val="0"/>
          <w:sz w:val="32"/>
          <w:szCs w:val="32"/>
          <w:highlight w:val="none"/>
        </w:rPr>
      </w:pPr>
    </w:p>
    <w:p>
      <w:pPr>
        <w:widowControl/>
        <w:ind w:firstLine="640" w:firstLineChars="200"/>
        <w:jc w:val="left"/>
        <w:outlineLvl w:val="1"/>
        <w:rPr>
          <w:rFonts w:ascii="黑体" w:hAnsi="黑体" w:eastAsia="黑体" w:cs="黑体"/>
          <w:kern w:val="0"/>
          <w:sz w:val="32"/>
          <w:szCs w:val="32"/>
          <w:highlight w:val="none"/>
        </w:rPr>
      </w:pPr>
    </w:p>
    <w:p>
      <w:pPr>
        <w:widowControl/>
        <w:ind w:firstLine="640" w:firstLineChars="200"/>
        <w:jc w:val="left"/>
        <w:outlineLvl w:val="1"/>
        <w:rPr>
          <w:rFonts w:ascii="黑体" w:hAnsi="黑体" w:eastAsia="黑体" w:cs="黑体"/>
          <w:kern w:val="0"/>
          <w:sz w:val="32"/>
          <w:szCs w:val="32"/>
          <w:highlight w:val="none"/>
        </w:rPr>
      </w:pPr>
    </w:p>
    <w:p>
      <w:pPr>
        <w:widowControl/>
        <w:ind w:firstLine="640" w:firstLineChars="200"/>
        <w:jc w:val="left"/>
        <w:outlineLvl w:val="1"/>
        <w:rPr>
          <w:rFonts w:ascii="黑体" w:hAnsi="黑体" w:eastAsia="黑体" w:cs="黑体"/>
          <w:kern w:val="0"/>
          <w:sz w:val="32"/>
          <w:szCs w:val="32"/>
          <w:highlight w:val="none"/>
        </w:rPr>
      </w:pPr>
    </w:p>
    <w:p>
      <w:pPr>
        <w:widowControl/>
        <w:ind w:firstLine="640" w:firstLineChars="200"/>
        <w:jc w:val="left"/>
        <w:outlineLvl w:val="1"/>
        <w:rPr>
          <w:rFonts w:ascii="黑体" w:hAnsi="黑体" w:eastAsia="黑体" w:cs="黑体"/>
          <w:kern w:val="0"/>
          <w:sz w:val="32"/>
          <w:szCs w:val="32"/>
          <w:highlight w:val="none"/>
        </w:rPr>
      </w:pPr>
    </w:p>
    <w:p>
      <w:pPr>
        <w:widowControl/>
        <w:ind w:firstLine="640" w:firstLineChars="200"/>
        <w:jc w:val="left"/>
        <w:outlineLvl w:val="1"/>
        <w:rPr>
          <w:rFonts w:ascii="黑体" w:hAnsi="黑体" w:eastAsia="黑体" w:cs="黑体"/>
          <w:kern w:val="0"/>
          <w:sz w:val="32"/>
          <w:szCs w:val="32"/>
          <w:highlight w:val="none"/>
        </w:rPr>
      </w:pPr>
    </w:p>
    <w:p>
      <w:pPr>
        <w:widowControl/>
        <w:ind w:firstLine="640" w:firstLineChars="200"/>
        <w:jc w:val="left"/>
        <w:outlineLvl w:val="1"/>
        <w:rPr>
          <w:rFonts w:ascii="黑体" w:hAnsi="黑体" w:eastAsia="黑体" w:cs="黑体"/>
          <w:kern w:val="0"/>
          <w:sz w:val="32"/>
          <w:szCs w:val="32"/>
          <w:highlight w:val="none"/>
        </w:rPr>
      </w:pPr>
    </w:p>
    <w:p>
      <w:pPr>
        <w:widowControl/>
        <w:ind w:firstLine="640" w:firstLineChars="200"/>
        <w:jc w:val="left"/>
        <w:outlineLvl w:val="1"/>
        <w:rPr>
          <w:rFonts w:ascii="黑体" w:hAnsi="黑体" w:eastAsia="黑体" w:cs="黑体"/>
          <w:kern w:val="0"/>
          <w:sz w:val="32"/>
          <w:szCs w:val="32"/>
          <w:highlight w:val="none"/>
        </w:rPr>
      </w:pPr>
    </w:p>
    <w:p>
      <w:pPr>
        <w:widowControl/>
        <w:ind w:firstLine="640" w:firstLineChars="200"/>
        <w:jc w:val="left"/>
        <w:outlineLvl w:val="1"/>
        <w:rPr>
          <w:rFonts w:ascii="黑体" w:hAnsi="黑体" w:eastAsia="黑体" w:cs="黑体"/>
          <w:kern w:val="0"/>
          <w:sz w:val="32"/>
          <w:szCs w:val="32"/>
          <w:highlight w:val="none"/>
        </w:rPr>
      </w:pPr>
    </w:p>
    <w:p>
      <w:pPr>
        <w:widowControl/>
        <w:ind w:firstLine="640" w:firstLineChars="200"/>
        <w:jc w:val="left"/>
        <w:outlineLvl w:val="1"/>
        <w:rPr>
          <w:rFonts w:ascii="黑体" w:hAnsi="黑体" w:eastAsia="黑体" w:cs="黑体"/>
          <w:kern w:val="0"/>
          <w:sz w:val="32"/>
          <w:szCs w:val="32"/>
          <w:highlight w:val="none"/>
        </w:rPr>
      </w:pPr>
    </w:p>
    <w:p>
      <w:pPr>
        <w:widowControl/>
        <w:ind w:firstLine="640" w:firstLineChars="200"/>
        <w:jc w:val="left"/>
        <w:outlineLvl w:val="1"/>
        <w:rPr>
          <w:rFonts w:ascii="黑体" w:hAnsi="黑体" w:eastAsia="黑体" w:cs="黑体"/>
          <w:kern w:val="0"/>
          <w:sz w:val="32"/>
          <w:szCs w:val="32"/>
          <w:highlight w:val="none"/>
        </w:rPr>
      </w:pPr>
    </w:p>
    <w:p>
      <w:pPr>
        <w:widowControl/>
        <w:ind w:firstLine="640" w:firstLineChars="200"/>
        <w:jc w:val="left"/>
        <w:outlineLvl w:val="1"/>
        <w:rPr>
          <w:rFonts w:ascii="黑体" w:hAnsi="黑体" w:eastAsia="黑体" w:cs="黑体"/>
          <w:kern w:val="0"/>
          <w:sz w:val="32"/>
          <w:szCs w:val="32"/>
          <w:highlight w:val="none"/>
        </w:rPr>
      </w:pPr>
    </w:p>
    <w:p>
      <w:pPr>
        <w:widowControl/>
        <w:ind w:firstLine="640" w:firstLineChars="200"/>
        <w:jc w:val="left"/>
        <w:outlineLvl w:val="1"/>
        <w:rPr>
          <w:rFonts w:ascii="黑体" w:hAnsi="黑体" w:eastAsia="黑体" w:cs="黑体"/>
          <w:kern w:val="0"/>
          <w:sz w:val="32"/>
          <w:szCs w:val="32"/>
          <w:highlight w:val="none"/>
        </w:rPr>
      </w:pPr>
    </w:p>
    <w:p>
      <w:pPr>
        <w:widowControl/>
        <w:ind w:firstLine="640" w:firstLineChars="200"/>
        <w:jc w:val="left"/>
        <w:outlineLvl w:val="1"/>
        <w:rPr>
          <w:rFonts w:hint="eastAsia" w:ascii="黑体" w:hAnsi="黑体" w:eastAsia="黑体" w:cs="黑体"/>
          <w:color w:val="auto"/>
          <w:kern w:val="0"/>
          <w:sz w:val="32"/>
          <w:szCs w:val="32"/>
          <w:highlight w:val="none"/>
          <w:lang w:val="en-US" w:eastAsia="zh-CN"/>
        </w:rPr>
      </w:pPr>
      <w:r>
        <w:rPr>
          <w:rFonts w:hint="eastAsia" w:ascii="黑体" w:hAnsi="黑体" w:eastAsia="黑体" w:cs="黑体"/>
          <w:color w:val="auto"/>
          <w:kern w:val="0"/>
          <w:sz w:val="32"/>
          <w:szCs w:val="32"/>
          <w:highlight w:val="none"/>
          <w:lang w:val="en-US" w:eastAsia="zh-CN"/>
        </w:rPr>
        <w:t>一、部门</w:t>
      </w:r>
      <w:r>
        <w:rPr>
          <w:rFonts w:hint="eastAsia" w:ascii="黑体" w:hAnsi="黑体" w:eastAsia="黑体" w:cs="黑体"/>
          <w:bCs/>
          <w:sz w:val="32"/>
          <w:szCs w:val="32"/>
          <w:highlight w:val="none"/>
        </w:rPr>
        <w:t>职责</w:t>
      </w:r>
    </w:p>
    <w:p>
      <w:pPr>
        <w:widowControl/>
        <w:ind w:firstLine="643" w:firstLineChars="200"/>
        <w:jc w:val="left"/>
        <w:outlineLvl w:val="1"/>
        <w:rPr>
          <w:rFonts w:hint="eastAsia" w:eastAsia="仿宋_GB2312"/>
          <w:b/>
          <w:bCs/>
          <w:sz w:val="32"/>
          <w:szCs w:val="32"/>
          <w:lang w:val="en-US" w:eastAsia="zh-CN"/>
        </w:rPr>
      </w:pPr>
      <w:r>
        <w:rPr>
          <w:rFonts w:hint="eastAsia" w:eastAsia="仿宋_GB2312"/>
          <w:b/>
          <w:bCs/>
          <w:sz w:val="32"/>
          <w:szCs w:val="32"/>
          <w:lang w:val="en-US" w:eastAsia="zh-CN"/>
        </w:rPr>
        <w:t>1、主要职责</w:t>
      </w:r>
    </w:p>
    <w:p>
      <w:pPr>
        <w:widowControl/>
        <w:ind w:firstLine="640" w:firstLineChars="200"/>
        <w:jc w:val="left"/>
        <w:outlineLvl w:val="1"/>
        <w:rPr>
          <w:rFonts w:eastAsia="仿宋_GB2312"/>
          <w:sz w:val="32"/>
          <w:szCs w:val="32"/>
        </w:rPr>
      </w:pPr>
      <w:r>
        <w:rPr>
          <w:rFonts w:eastAsia="仿宋_GB2312"/>
          <w:sz w:val="32"/>
          <w:szCs w:val="32"/>
        </w:rPr>
        <w:t>负责本辖区</w:t>
      </w:r>
      <w:r>
        <w:rPr>
          <w:rFonts w:hint="eastAsia" w:eastAsia="仿宋_GB2312"/>
          <w:sz w:val="32"/>
          <w:szCs w:val="32"/>
        </w:rPr>
        <w:t>水域管理，水上运输安全管理，渡口管理，船舶管理，船员管理，水上运输企业管理</w:t>
      </w:r>
      <w:r>
        <w:rPr>
          <w:rFonts w:eastAsia="仿宋_GB2312"/>
          <w:sz w:val="32"/>
          <w:szCs w:val="32"/>
        </w:rPr>
        <w:t>。</w:t>
      </w:r>
    </w:p>
    <w:p>
      <w:pPr>
        <w:widowControl/>
        <w:numPr>
          <w:ilvl w:val="0"/>
          <w:numId w:val="3"/>
        </w:numPr>
        <w:ind w:firstLine="643" w:firstLineChars="200"/>
        <w:jc w:val="left"/>
        <w:outlineLvl w:val="1"/>
        <w:rPr>
          <w:rFonts w:hint="eastAsia" w:eastAsia="仿宋_GB2312"/>
          <w:b/>
          <w:bCs/>
          <w:sz w:val="32"/>
          <w:szCs w:val="32"/>
          <w:lang w:val="en-US" w:eastAsia="zh-CN"/>
        </w:rPr>
      </w:pPr>
      <w:r>
        <w:rPr>
          <w:rFonts w:hint="eastAsia" w:eastAsia="仿宋_GB2312"/>
          <w:b/>
          <w:bCs/>
          <w:sz w:val="32"/>
          <w:szCs w:val="32"/>
          <w:lang w:val="en-US" w:eastAsia="zh-CN"/>
        </w:rPr>
        <w:t>人员构成情况</w:t>
      </w:r>
    </w:p>
    <w:p>
      <w:pPr>
        <w:widowControl/>
        <w:ind w:firstLine="640" w:firstLineChars="200"/>
        <w:jc w:val="left"/>
        <w:outlineLvl w:val="1"/>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本单位共有编制8人，其中事业编制8人，工勤编制0人。在职人数11人，退休人员0人，离休人员0人。</w:t>
      </w:r>
    </w:p>
    <w:p>
      <w:pPr>
        <w:widowControl/>
        <w:ind w:firstLine="640" w:firstLineChars="200"/>
        <w:jc w:val="left"/>
        <w:outlineLvl w:val="1"/>
        <w:rPr>
          <w:rFonts w:hint="eastAsia" w:ascii="黑体" w:hAnsi="黑体" w:eastAsia="黑体" w:cs="黑体"/>
          <w:color w:val="auto"/>
          <w:kern w:val="0"/>
          <w:sz w:val="32"/>
          <w:szCs w:val="32"/>
          <w:highlight w:val="none"/>
          <w:lang w:val="en-US" w:eastAsia="zh-CN"/>
        </w:rPr>
      </w:pPr>
      <w:r>
        <w:rPr>
          <w:rFonts w:hint="eastAsia" w:ascii="黑体" w:hAnsi="黑体" w:eastAsia="黑体" w:cs="黑体"/>
          <w:color w:val="auto"/>
          <w:kern w:val="0"/>
          <w:sz w:val="32"/>
          <w:szCs w:val="32"/>
          <w:highlight w:val="none"/>
          <w:lang w:val="en-US" w:eastAsia="zh-CN"/>
        </w:rPr>
        <w:t>二、机构设置</w:t>
      </w:r>
    </w:p>
    <w:p>
      <w:pPr>
        <w:adjustRightInd w:val="0"/>
        <w:snapToGrid w:val="0"/>
        <w:spacing w:line="360" w:lineRule="auto"/>
        <w:ind w:firstLine="640" w:firstLineChars="200"/>
        <w:rPr>
          <w:rFonts w:hint="eastAsia" w:eastAsia="仿宋_GB2312"/>
          <w:sz w:val="32"/>
          <w:szCs w:val="32"/>
          <w:lang w:eastAsia="zh-CN"/>
        </w:rPr>
      </w:pPr>
      <w:r>
        <w:rPr>
          <w:rFonts w:eastAsia="仿宋_GB2312"/>
          <w:sz w:val="32"/>
          <w:szCs w:val="32"/>
        </w:rPr>
        <w:t>许昌</w:t>
      </w:r>
      <w:r>
        <w:rPr>
          <w:rFonts w:hint="eastAsia" w:eastAsia="仿宋_GB2312"/>
          <w:sz w:val="32"/>
          <w:szCs w:val="32"/>
        </w:rPr>
        <w:t>市建安区</w:t>
      </w:r>
      <w:r>
        <w:rPr>
          <w:rFonts w:eastAsia="仿宋_GB2312"/>
          <w:sz w:val="32"/>
          <w:szCs w:val="32"/>
        </w:rPr>
        <w:t>地方海事</w:t>
      </w:r>
      <w:r>
        <w:rPr>
          <w:rFonts w:hint="eastAsia" w:eastAsia="仿宋_GB2312"/>
          <w:sz w:val="32"/>
          <w:szCs w:val="32"/>
        </w:rPr>
        <w:t>处无内设机构</w:t>
      </w:r>
      <w:r>
        <w:rPr>
          <w:rFonts w:hint="eastAsia" w:eastAsia="仿宋_GB2312"/>
          <w:sz w:val="32"/>
          <w:szCs w:val="32"/>
          <w:lang w:eastAsia="zh-CN"/>
        </w:rPr>
        <w:t>。</w:t>
      </w:r>
    </w:p>
    <w:p>
      <w:pPr>
        <w:widowControl/>
        <w:ind w:left="319" w:leftChars="152" w:firstLine="320" w:firstLineChars="100"/>
        <w:jc w:val="left"/>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从决算单位构成看，许昌市建安区地方海事处部门决算包括本级决算。</w:t>
      </w:r>
    </w:p>
    <w:p>
      <w:pPr>
        <w:widowControl/>
        <w:jc w:val="left"/>
        <w:rPr>
          <w:rFonts w:hint="eastAsia" w:ascii="仿宋_GB2312" w:hAnsi="仿宋_GB2312" w:eastAsia="仿宋_GB2312" w:cs="仿宋_GB2312"/>
          <w:kern w:val="0"/>
          <w:sz w:val="32"/>
          <w:szCs w:val="32"/>
          <w:highlight w:val="none"/>
        </w:rPr>
      </w:pPr>
    </w:p>
    <w:p>
      <w:pPr>
        <w:widowControl/>
        <w:ind w:firstLine="640" w:firstLineChars="200"/>
        <w:jc w:val="left"/>
        <w:rPr>
          <w:rFonts w:hint="eastAsia" w:ascii="仿宋_GB2312" w:hAnsi="仿宋_GB2312" w:eastAsia="仿宋_GB2312" w:cs="仿宋_GB2312"/>
          <w:kern w:val="0"/>
          <w:sz w:val="32"/>
          <w:szCs w:val="32"/>
          <w:highlight w:val="none"/>
        </w:rPr>
      </w:pPr>
    </w:p>
    <w:p>
      <w:pPr>
        <w:widowControl/>
        <w:jc w:val="left"/>
        <w:rPr>
          <w:rFonts w:hint="eastAsia" w:ascii="黑体" w:hAnsi="宋体" w:eastAsia="黑体" w:cs="宋体"/>
          <w:kern w:val="0"/>
          <w:sz w:val="28"/>
          <w:szCs w:val="28"/>
          <w:highlight w:val="none"/>
        </w:rPr>
        <w:sectPr>
          <w:footerReference r:id="rId3" w:type="default"/>
          <w:footerReference r:id="rId4" w:type="even"/>
          <w:pgSz w:w="11906" w:h="16838"/>
          <w:pgMar w:top="1440" w:right="1800" w:bottom="1440" w:left="1800" w:header="720" w:footer="720" w:gutter="0"/>
          <w:pgNumType w:fmt="numberInDash"/>
          <w:cols w:space="720" w:num="1"/>
          <w:docGrid w:type="lines" w:linePitch="312" w:charSpace="0"/>
        </w:sectPr>
      </w:pPr>
    </w:p>
    <w:p>
      <w:pPr>
        <w:widowControl/>
        <w:jc w:val="left"/>
        <w:rPr>
          <w:rFonts w:hint="eastAsia" w:ascii="黑体" w:hAnsi="宋体" w:eastAsia="黑体" w:cs="宋体"/>
          <w:kern w:val="0"/>
          <w:sz w:val="28"/>
          <w:szCs w:val="28"/>
          <w:highlight w:val="none"/>
        </w:rPr>
      </w:pPr>
    </w:p>
    <w:p>
      <w:pPr>
        <w:widowControl/>
        <w:jc w:val="left"/>
        <w:rPr>
          <w:rFonts w:hint="eastAsia" w:ascii="黑体" w:hAnsi="宋体" w:eastAsia="黑体" w:cs="宋体"/>
          <w:kern w:val="0"/>
          <w:sz w:val="28"/>
          <w:szCs w:val="28"/>
          <w:highlight w:val="none"/>
        </w:rPr>
      </w:pPr>
    </w:p>
    <w:p>
      <w:pPr>
        <w:widowControl/>
        <w:jc w:val="left"/>
        <w:rPr>
          <w:rFonts w:hint="eastAsia" w:ascii="黑体" w:hAnsi="宋体" w:eastAsia="黑体" w:cs="宋体"/>
          <w:kern w:val="0"/>
          <w:sz w:val="28"/>
          <w:szCs w:val="28"/>
          <w:highlight w:val="none"/>
        </w:rPr>
      </w:pPr>
    </w:p>
    <w:p>
      <w:pPr>
        <w:widowControl/>
        <w:jc w:val="left"/>
        <w:rPr>
          <w:rFonts w:hint="eastAsia" w:ascii="黑体" w:hAnsi="宋体" w:eastAsia="黑体" w:cs="宋体"/>
          <w:kern w:val="0"/>
          <w:sz w:val="28"/>
          <w:szCs w:val="28"/>
          <w:highlight w:val="none"/>
        </w:rPr>
      </w:pPr>
    </w:p>
    <w:p>
      <w:pPr>
        <w:widowControl/>
        <w:jc w:val="left"/>
        <w:rPr>
          <w:rFonts w:hint="eastAsia" w:ascii="黑体" w:hAnsi="宋体" w:eastAsia="黑体" w:cs="宋体"/>
          <w:kern w:val="0"/>
          <w:sz w:val="28"/>
          <w:szCs w:val="28"/>
          <w:highlight w:val="none"/>
        </w:rPr>
      </w:pPr>
    </w:p>
    <w:p>
      <w:pPr>
        <w:widowControl/>
        <w:jc w:val="left"/>
        <w:rPr>
          <w:rFonts w:hint="eastAsia" w:ascii="黑体" w:hAnsi="宋体" w:eastAsia="黑体" w:cs="宋体"/>
          <w:kern w:val="0"/>
          <w:sz w:val="28"/>
          <w:szCs w:val="28"/>
          <w:highlight w:val="none"/>
        </w:rPr>
      </w:pPr>
    </w:p>
    <w:p>
      <w:pPr>
        <w:widowControl/>
        <w:jc w:val="left"/>
        <w:rPr>
          <w:rFonts w:hint="eastAsia" w:ascii="黑体" w:hAnsi="宋体" w:eastAsia="黑体" w:cs="宋体"/>
          <w:kern w:val="0"/>
          <w:sz w:val="28"/>
          <w:szCs w:val="28"/>
          <w:highlight w:val="none"/>
        </w:rPr>
      </w:pPr>
    </w:p>
    <w:p>
      <w:pPr>
        <w:jc w:val="center"/>
        <w:outlineLvl w:val="0"/>
        <w:rPr>
          <w:rFonts w:hint="eastAsia" w:ascii="黑体" w:hAnsi="黑体" w:eastAsia="黑体" w:cs="黑体"/>
          <w:sz w:val="48"/>
          <w:szCs w:val="48"/>
          <w:highlight w:val="none"/>
        </w:rPr>
      </w:pPr>
      <w:r>
        <w:rPr>
          <w:rFonts w:hint="eastAsia" w:ascii="黑体" w:hAnsi="黑体" w:eastAsia="黑体" w:cs="黑体"/>
          <w:sz w:val="48"/>
          <w:szCs w:val="48"/>
          <w:highlight w:val="none"/>
        </w:rPr>
        <w:t>第二部分  2021年度部门决算表</w:t>
      </w:r>
    </w:p>
    <w:p>
      <w:pPr>
        <w:widowControl/>
        <w:jc w:val="left"/>
        <w:rPr>
          <w:rFonts w:hint="eastAsia" w:ascii="黑体" w:hAnsi="宋体" w:eastAsia="黑体" w:cs="宋体"/>
          <w:kern w:val="0"/>
          <w:sz w:val="28"/>
          <w:szCs w:val="28"/>
          <w:highlight w:val="none"/>
        </w:rPr>
      </w:pPr>
    </w:p>
    <w:p>
      <w:pPr>
        <w:widowControl/>
        <w:jc w:val="left"/>
        <w:rPr>
          <w:rFonts w:hint="eastAsia" w:ascii="黑体" w:hAnsi="宋体" w:eastAsia="黑体" w:cs="宋体"/>
          <w:kern w:val="0"/>
          <w:sz w:val="28"/>
          <w:szCs w:val="28"/>
          <w:highlight w:val="none"/>
        </w:rPr>
        <w:sectPr>
          <w:pgSz w:w="11906" w:h="16838"/>
          <w:pgMar w:top="1440" w:right="1800" w:bottom="1440" w:left="1800" w:header="720" w:footer="720" w:gutter="0"/>
          <w:pgNumType w:fmt="numberInDash"/>
          <w:cols w:space="720" w:num="1"/>
          <w:docGrid w:type="lines" w:linePitch="312" w:charSpace="0"/>
        </w:sectPr>
      </w:pPr>
    </w:p>
    <w:p>
      <w:pPr>
        <w:rPr>
          <w:rFonts w:hint="eastAsia" w:ascii="仿宋_GB2312" w:hAnsi="仿宋_GB2312" w:eastAsia="仿宋_GB2312" w:cs="仿宋_GB2312"/>
          <w:sz w:val="32"/>
          <w:szCs w:val="32"/>
          <w:highlight w:val="none"/>
        </w:rPr>
      </w:pPr>
    </w:p>
    <w:tbl>
      <w:tblPr>
        <w:tblStyle w:val="8"/>
        <w:tblW w:w="140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754"/>
        <w:gridCol w:w="835"/>
        <w:gridCol w:w="1115"/>
        <w:gridCol w:w="4475"/>
        <w:gridCol w:w="835"/>
        <w:gridCol w:w="20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4070" w:type="dxa"/>
            <w:gridSpan w:val="6"/>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pPr>
              <w:rPr>
                <w:rFonts w:hint="eastAsia"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公开01表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部门：许昌市建安区地方海事处</w:t>
            </w: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收入</w:t>
            </w:r>
          </w:p>
        </w:tc>
        <w:tc>
          <w:tcPr>
            <w:tcW w:w="0" w:type="auto"/>
            <w:gridSpan w:val="3"/>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一、一般公共预算财政拨款收入</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126.52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二、政府性基金预算财政拨款收入</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三、国有资本经营预算财政拨款收入</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四、上级补助收入</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五、事业收入</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六、经营收入</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七、附属单位上缴收入</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八、其他收入</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126.52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使用非财政拨款结余</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结余分配</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0" w:type="auto"/>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nil"/>
              <w:left w:val="nil"/>
              <w:bottom w:val="single" w:color="000000" w:sz="8"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126.52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6"/>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注：本表反映部门本年度的总收支和年末结转结余情况。本套报表金额单位转换时可能存在尾数误差。</w:t>
            </w:r>
          </w:p>
        </w:tc>
      </w:tr>
    </w:tbl>
    <w:p>
      <w:pPr>
        <w:rPr>
          <w:rFonts w:hint="eastAsia" w:ascii="仿宋_GB2312" w:hAnsi="仿宋_GB2312" w:eastAsia="仿宋_GB2312" w:cs="仿宋_GB2312"/>
          <w:sz w:val="32"/>
          <w:szCs w:val="32"/>
          <w:highlight w:val="none"/>
        </w:rPr>
        <w:sectPr>
          <w:pgSz w:w="16838" w:h="11906" w:orient="landscape"/>
          <w:pgMar w:top="1800" w:right="1440" w:bottom="1800" w:left="1440" w:header="720" w:footer="720" w:gutter="0"/>
          <w:pgNumType w:fmt="numberInDash"/>
          <w:cols w:space="720" w:num="1"/>
          <w:docGrid w:type="lines" w:linePitch="312" w:charSpace="0"/>
        </w:sectPr>
      </w:pPr>
    </w:p>
    <w:p>
      <w:pPr>
        <w:rPr>
          <w:rFonts w:hint="eastAsia" w:ascii="仿宋_GB2312" w:hAnsi="仿宋_GB2312" w:eastAsia="仿宋_GB2312" w:cs="仿宋_GB2312"/>
          <w:sz w:val="32"/>
          <w:szCs w:val="32"/>
          <w:highlight w:val="none"/>
        </w:rPr>
      </w:pPr>
    </w:p>
    <w:tbl>
      <w:tblPr>
        <w:tblStyle w:val="8"/>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016"/>
        <w:gridCol w:w="222"/>
        <w:gridCol w:w="222"/>
        <w:gridCol w:w="2636"/>
        <w:gridCol w:w="1084"/>
        <w:gridCol w:w="1264"/>
        <w:gridCol w:w="1028"/>
        <w:gridCol w:w="1028"/>
        <w:gridCol w:w="1028"/>
        <w:gridCol w:w="1029"/>
        <w:gridCol w:w="16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5000" w:type="pct"/>
            <w:gridSpan w:val="11"/>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收入决算表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854" w:type="pct"/>
            <w:tcBorders>
              <w:top w:val="nil"/>
              <w:left w:val="nil"/>
              <w:bottom w:val="nil"/>
              <w:right w:val="nil"/>
            </w:tcBorders>
            <w:shd w:val="clear" w:color="auto" w:fill="auto"/>
            <w:noWrap/>
            <w:vAlign w:val="bottom"/>
          </w:tcPr>
          <w:p>
            <w:pPr>
              <w:rPr>
                <w:rFonts w:hint="eastAsia" w:ascii="Arial" w:hAnsi="Arial" w:cs="Arial"/>
                <w:i w:val="0"/>
                <w:iCs w:val="0"/>
                <w:color w:val="000000"/>
                <w:sz w:val="20"/>
                <w:szCs w:val="20"/>
                <w:u w:val="none"/>
              </w:rPr>
            </w:pPr>
          </w:p>
        </w:tc>
        <w:tc>
          <w:tcPr>
            <w:tcW w:w="78"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78"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747"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510"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510"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427"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427"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427"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427"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512" w:type="pct"/>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公开02表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854" w:type="pct"/>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部门：许昌市建安区地方海事处</w:t>
            </w:r>
          </w:p>
        </w:tc>
        <w:tc>
          <w:tcPr>
            <w:tcW w:w="78"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78"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747"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510"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510"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427"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427"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427"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427"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512" w:type="pct"/>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758"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510" w:type="pct"/>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本年收入合计</w:t>
            </w:r>
          </w:p>
        </w:tc>
        <w:tc>
          <w:tcPr>
            <w:tcW w:w="510" w:type="pct"/>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财政拨款收入</w:t>
            </w:r>
          </w:p>
        </w:tc>
        <w:tc>
          <w:tcPr>
            <w:tcW w:w="427" w:type="pct"/>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上级补助收入</w:t>
            </w:r>
          </w:p>
        </w:tc>
        <w:tc>
          <w:tcPr>
            <w:tcW w:w="427" w:type="pct"/>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事业收入</w:t>
            </w:r>
          </w:p>
        </w:tc>
        <w:tc>
          <w:tcPr>
            <w:tcW w:w="427" w:type="pct"/>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经营收入</w:t>
            </w:r>
          </w:p>
        </w:tc>
        <w:tc>
          <w:tcPr>
            <w:tcW w:w="427" w:type="pct"/>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附属单位上缴收入</w:t>
            </w:r>
          </w:p>
        </w:tc>
        <w:tc>
          <w:tcPr>
            <w:tcW w:w="512" w:type="pct"/>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011" w:type="pct"/>
            <w:gridSpan w:val="3"/>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功能分类科目编码</w:t>
            </w:r>
          </w:p>
        </w:tc>
        <w:tc>
          <w:tcPr>
            <w:tcW w:w="747" w:type="pct"/>
            <w:vMerge w:val="restar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510" w:type="pct"/>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10" w:type="pct"/>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27" w:type="pct"/>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27" w:type="pct"/>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27" w:type="pct"/>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27" w:type="pct"/>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12" w:type="pct"/>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011" w:type="pct"/>
            <w:gridSpan w:val="3"/>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747" w:type="pct"/>
            <w:vMerge w:val="continue"/>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510" w:type="pct"/>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10" w:type="pct"/>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27" w:type="pct"/>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27" w:type="pct"/>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27" w:type="pct"/>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27" w:type="pct"/>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12" w:type="pct"/>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011" w:type="pct"/>
            <w:gridSpan w:val="3"/>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747" w:type="pct"/>
            <w:vMerge w:val="continue"/>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510" w:type="pct"/>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10" w:type="pct"/>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27" w:type="pct"/>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27" w:type="pct"/>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27" w:type="pct"/>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27" w:type="pct"/>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12" w:type="pct"/>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758" w:type="pct"/>
            <w:gridSpan w:val="4"/>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510" w:type="pc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10" w:type="pc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27" w:type="pc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27" w:type="pc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427" w:type="pc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427" w:type="pc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512" w:type="pc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758" w:type="pct"/>
            <w:gridSpan w:val="4"/>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51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126.52</w:t>
            </w:r>
          </w:p>
        </w:tc>
        <w:tc>
          <w:tcPr>
            <w:tcW w:w="51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126.52</w:t>
            </w:r>
          </w:p>
        </w:tc>
        <w:tc>
          <w:tcPr>
            <w:tcW w:w="42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42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42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42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51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011"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w:t>
            </w:r>
          </w:p>
        </w:tc>
        <w:tc>
          <w:tcPr>
            <w:tcW w:w="74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交通运输支出</w:t>
            </w:r>
          </w:p>
        </w:tc>
        <w:tc>
          <w:tcPr>
            <w:tcW w:w="51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126.52</w:t>
            </w:r>
          </w:p>
        </w:tc>
        <w:tc>
          <w:tcPr>
            <w:tcW w:w="51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126.52</w:t>
            </w:r>
          </w:p>
        </w:tc>
        <w:tc>
          <w:tcPr>
            <w:tcW w:w="42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2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2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2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51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011"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21401</w:t>
            </w:r>
          </w:p>
        </w:tc>
        <w:tc>
          <w:tcPr>
            <w:tcW w:w="74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公路水路运输</w:t>
            </w:r>
          </w:p>
        </w:tc>
        <w:tc>
          <w:tcPr>
            <w:tcW w:w="51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126.52</w:t>
            </w:r>
          </w:p>
        </w:tc>
        <w:tc>
          <w:tcPr>
            <w:tcW w:w="51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126.52</w:t>
            </w:r>
          </w:p>
        </w:tc>
        <w:tc>
          <w:tcPr>
            <w:tcW w:w="42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2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2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2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51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011"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2140199</w:t>
            </w:r>
          </w:p>
        </w:tc>
        <w:tc>
          <w:tcPr>
            <w:tcW w:w="74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其他公路水路运输支出</w:t>
            </w:r>
          </w:p>
        </w:tc>
        <w:tc>
          <w:tcPr>
            <w:tcW w:w="51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126.52</w:t>
            </w:r>
          </w:p>
        </w:tc>
        <w:tc>
          <w:tcPr>
            <w:tcW w:w="51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126.52</w:t>
            </w:r>
          </w:p>
        </w:tc>
        <w:tc>
          <w:tcPr>
            <w:tcW w:w="42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2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2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2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51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011"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747"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51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51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2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2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2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2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51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011"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747"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51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51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2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2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2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2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51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011"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747"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51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51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2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2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2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2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51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011"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747"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51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51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2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2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2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2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51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011"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747"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51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51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2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2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2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2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51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000" w:type="pct"/>
            <w:gridSpan w:val="11"/>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注：本表反映部门本年度取得的各项收入情况。</w:t>
            </w:r>
          </w:p>
        </w:tc>
      </w:tr>
    </w:tbl>
    <w:p>
      <w:pPr>
        <w:rPr>
          <w:rFonts w:hint="eastAsia" w:ascii="仿宋_GB2312" w:hAnsi="仿宋_GB2312" w:eastAsia="仿宋_GB2312" w:cs="仿宋_GB2312"/>
          <w:sz w:val="32"/>
          <w:szCs w:val="32"/>
          <w:highlight w:val="none"/>
        </w:rPr>
        <w:sectPr>
          <w:pgSz w:w="16838" w:h="11906" w:orient="landscape"/>
          <w:pgMar w:top="1800" w:right="1440" w:bottom="1800" w:left="1440" w:header="720" w:footer="720" w:gutter="0"/>
          <w:pgNumType w:fmt="numberInDash"/>
          <w:cols w:space="720" w:num="1"/>
          <w:docGrid w:type="lines" w:linePitch="312" w:charSpace="0"/>
        </w:sectPr>
      </w:pPr>
    </w:p>
    <w:tbl>
      <w:tblPr>
        <w:tblStyle w:val="8"/>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016"/>
        <w:gridCol w:w="222"/>
        <w:gridCol w:w="222"/>
        <w:gridCol w:w="2636"/>
        <w:gridCol w:w="1438"/>
        <w:gridCol w:w="1519"/>
        <w:gridCol w:w="1168"/>
        <w:gridCol w:w="1168"/>
        <w:gridCol w:w="1168"/>
        <w:gridCol w:w="16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5000" w:type="pct"/>
            <w:gridSpan w:val="10"/>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955" w:type="pct"/>
            <w:tcBorders>
              <w:top w:val="nil"/>
              <w:left w:val="nil"/>
              <w:bottom w:val="nil"/>
              <w:right w:val="nil"/>
            </w:tcBorders>
            <w:shd w:val="clear" w:color="auto" w:fill="auto"/>
            <w:noWrap/>
            <w:vAlign w:val="bottom"/>
          </w:tcPr>
          <w:p>
            <w:pPr>
              <w:rPr>
                <w:rFonts w:hint="eastAsia" w:ascii="Arial" w:hAnsi="Arial" w:cs="Arial"/>
                <w:i w:val="0"/>
                <w:iCs w:val="0"/>
                <w:color w:val="000000"/>
                <w:sz w:val="20"/>
                <w:szCs w:val="20"/>
                <w:u w:val="none"/>
              </w:rPr>
            </w:pPr>
          </w:p>
        </w:tc>
        <w:tc>
          <w:tcPr>
            <w:tcW w:w="78"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78"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835"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570"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570"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446"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446"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446"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572" w:type="pct"/>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公开03表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955" w:type="pct"/>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部门：许昌市建安区地方海事处</w:t>
            </w:r>
          </w:p>
        </w:tc>
        <w:tc>
          <w:tcPr>
            <w:tcW w:w="78"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78"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835"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570"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570"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446"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446"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446"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572" w:type="pct"/>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947"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570" w:type="pct"/>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本年支出合计</w:t>
            </w:r>
          </w:p>
        </w:tc>
        <w:tc>
          <w:tcPr>
            <w:tcW w:w="570" w:type="pct"/>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446" w:type="pct"/>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446" w:type="pct"/>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上缴上级支出</w:t>
            </w:r>
          </w:p>
        </w:tc>
        <w:tc>
          <w:tcPr>
            <w:tcW w:w="446" w:type="pct"/>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经营支出</w:t>
            </w:r>
          </w:p>
        </w:tc>
        <w:tc>
          <w:tcPr>
            <w:tcW w:w="572" w:type="pct"/>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对附属单位补助支出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12" w:type="pct"/>
            <w:gridSpan w:val="3"/>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功能分类科目编码</w:t>
            </w:r>
          </w:p>
        </w:tc>
        <w:tc>
          <w:tcPr>
            <w:tcW w:w="835" w:type="pct"/>
            <w:vMerge w:val="restar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570" w:type="pct"/>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70" w:type="pct"/>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6" w:type="pct"/>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6" w:type="pct"/>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6" w:type="pct"/>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72" w:type="pct"/>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12" w:type="pct"/>
            <w:gridSpan w:val="3"/>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835" w:type="pct"/>
            <w:vMerge w:val="continue"/>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570" w:type="pct"/>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70" w:type="pct"/>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6" w:type="pct"/>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6" w:type="pct"/>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6" w:type="pct"/>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72" w:type="pct"/>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12" w:type="pct"/>
            <w:gridSpan w:val="3"/>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835" w:type="pct"/>
            <w:vMerge w:val="continue"/>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570" w:type="pct"/>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70" w:type="pct"/>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6" w:type="pct"/>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6" w:type="pct"/>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6" w:type="pct"/>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72" w:type="pct"/>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47" w:type="pct"/>
            <w:gridSpan w:val="4"/>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570" w:type="pc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70" w:type="pc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46" w:type="pc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46" w:type="pc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446" w:type="pc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572" w:type="pc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47" w:type="pct"/>
            <w:gridSpan w:val="4"/>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57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126.52</w:t>
            </w:r>
          </w:p>
        </w:tc>
        <w:tc>
          <w:tcPr>
            <w:tcW w:w="57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126.52</w:t>
            </w:r>
          </w:p>
        </w:tc>
        <w:tc>
          <w:tcPr>
            <w:tcW w:w="44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44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44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57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12"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w:t>
            </w:r>
          </w:p>
        </w:tc>
        <w:tc>
          <w:tcPr>
            <w:tcW w:w="83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交通运输支出</w:t>
            </w:r>
          </w:p>
        </w:tc>
        <w:tc>
          <w:tcPr>
            <w:tcW w:w="57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126.52</w:t>
            </w:r>
          </w:p>
        </w:tc>
        <w:tc>
          <w:tcPr>
            <w:tcW w:w="57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126.52</w:t>
            </w:r>
          </w:p>
        </w:tc>
        <w:tc>
          <w:tcPr>
            <w:tcW w:w="44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4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4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57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12"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21401</w:t>
            </w:r>
          </w:p>
        </w:tc>
        <w:tc>
          <w:tcPr>
            <w:tcW w:w="83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公路水路运输</w:t>
            </w:r>
          </w:p>
        </w:tc>
        <w:tc>
          <w:tcPr>
            <w:tcW w:w="57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126.52</w:t>
            </w:r>
          </w:p>
        </w:tc>
        <w:tc>
          <w:tcPr>
            <w:tcW w:w="57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126.52</w:t>
            </w:r>
          </w:p>
        </w:tc>
        <w:tc>
          <w:tcPr>
            <w:tcW w:w="44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4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4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57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12"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2140199</w:t>
            </w:r>
          </w:p>
        </w:tc>
        <w:tc>
          <w:tcPr>
            <w:tcW w:w="83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其他公路水路运输支出</w:t>
            </w:r>
          </w:p>
        </w:tc>
        <w:tc>
          <w:tcPr>
            <w:tcW w:w="57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126.52</w:t>
            </w:r>
          </w:p>
        </w:tc>
        <w:tc>
          <w:tcPr>
            <w:tcW w:w="57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126.52</w:t>
            </w:r>
          </w:p>
        </w:tc>
        <w:tc>
          <w:tcPr>
            <w:tcW w:w="44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4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4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57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12"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835"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57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57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4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4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4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57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12"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835"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57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57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4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4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4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57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12"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835"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57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57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4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4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4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57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12"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835"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57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57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4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4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4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57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12"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835"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57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57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4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4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4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57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000" w:type="pct"/>
            <w:gridSpan w:val="10"/>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注：本表反映部门本年度各项支出情况。</w:t>
            </w:r>
          </w:p>
        </w:tc>
      </w:tr>
    </w:tbl>
    <w:p>
      <w:pPr>
        <w:rPr>
          <w:rFonts w:hint="eastAsia" w:ascii="仿宋_GB2312" w:hAnsi="仿宋_GB2312" w:eastAsia="仿宋_GB2312" w:cs="仿宋_GB2312"/>
          <w:sz w:val="32"/>
          <w:szCs w:val="32"/>
          <w:highlight w:val="none"/>
        </w:rPr>
        <w:sectPr>
          <w:pgSz w:w="16838" w:h="11906" w:orient="landscape"/>
          <w:pgMar w:top="1800" w:right="1440" w:bottom="1800" w:left="1440" w:header="720" w:footer="720" w:gutter="0"/>
          <w:pgNumType w:fmt="numberInDash"/>
          <w:cols w:space="720" w:num="1"/>
          <w:docGrid w:type="lines" w:linePitch="312" w:charSpace="0"/>
        </w:sectPr>
      </w:pPr>
    </w:p>
    <w:tbl>
      <w:tblPr>
        <w:tblStyle w:val="8"/>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259"/>
        <w:gridCol w:w="526"/>
        <w:gridCol w:w="1323"/>
        <w:gridCol w:w="3685"/>
        <w:gridCol w:w="526"/>
        <w:gridCol w:w="908"/>
        <w:gridCol w:w="1321"/>
        <w:gridCol w:w="1102"/>
        <w:gridCol w:w="152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5000" w:type="pct"/>
            <w:gridSpan w:val="9"/>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财政拨款收入支出决算总表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135" w:type="pct"/>
            <w:tcBorders>
              <w:top w:val="nil"/>
              <w:left w:val="nil"/>
              <w:bottom w:val="nil"/>
              <w:right w:val="nil"/>
            </w:tcBorders>
            <w:shd w:val="clear" w:color="auto" w:fill="auto"/>
            <w:noWrap/>
            <w:vAlign w:val="bottom"/>
          </w:tcPr>
          <w:p>
            <w:pPr>
              <w:rPr>
                <w:rFonts w:hint="eastAsia" w:ascii="Arial" w:hAnsi="Arial" w:cs="Arial"/>
                <w:i w:val="0"/>
                <w:iCs w:val="0"/>
                <w:color w:val="000000"/>
                <w:sz w:val="20"/>
                <w:szCs w:val="20"/>
                <w:u w:val="none"/>
              </w:rPr>
            </w:pPr>
          </w:p>
        </w:tc>
        <w:tc>
          <w:tcPr>
            <w:tcW w:w="179"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457"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284"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79"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313"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457"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378"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613" w:type="pct"/>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公开04表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135" w:type="pct"/>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部门：许昌市建安区地方海事处</w:t>
            </w:r>
          </w:p>
        </w:tc>
        <w:tc>
          <w:tcPr>
            <w:tcW w:w="179"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457"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284"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79"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313"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457"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378"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613" w:type="pct"/>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77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     入</w:t>
            </w:r>
          </w:p>
        </w:tc>
        <w:tc>
          <w:tcPr>
            <w:tcW w:w="3227" w:type="pct"/>
            <w:gridSpan w:val="6"/>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     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2" w:hRule="atLeast"/>
        </w:trPr>
        <w:tc>
          <w:tcPr>
            <w:tcW w:w="1135" w:type="pct"/>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79" w:type="pct"/>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457" w:type="pct"/>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1284" w:type="pct"/>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79" w:type="pct"/>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313" w:type="pct"/>
            <w:vMerge w:val="restar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457" w:type="pct"/>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一般公共预算财政拨款</w:t>
            </w:r>
          </w:p>
        </w:tc>
        <w:tc>
          <w:tcPr>
            <w:tcW w:w="378" w:type="pct"/>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政府性基金预算财政拨款</w:t>
            </w:r>
          </w:p>
        </w:tc>
        <w:tc>
          <w:tcPr>
            <w:tcW w:w="613" w:type="pct"/>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国有资本经营预算财政拨款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1135" w:type="pct"/>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79" w:type="pct"/>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57" w:type="pct"/>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284" w:type="pct"/>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79" w:type="pct"/>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313" w:type="pct"/>
            <w:vMerge w:val="continue"/>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57" w:type="pct"/>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378" w:type="pct"/>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13" w:type="pct"/>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35"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79" w:type="pct"/>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5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8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79" w:type="pct"/>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31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5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37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61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35"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w:t>
            </w:r>
          </w:p>
        </w:tc>
        <w:tc>
          <w:tcPr>
            <w:tcW w:w="17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5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126.52</w:t>
            </w:r>
          </w:p>
        </w:tc>
        <w:tc>
          <w:tcPr>
            <w:tcW w:w="128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17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31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5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7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61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35"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w:t>
            </w:r>
          </w:p>
        </w:tc>
        <w:tc>
          <w:tcPr>
            <w:tcW w:w="17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5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8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17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31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5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7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61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35"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三、国有资本经营财政拨款</w:t>
            </w:r>
          </w:p>
        </w:tc>
        <w:tc>
          <w:tcPr>
            <w:tcW w:w="17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5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8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17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31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5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7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61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35" w:type="pct"/>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17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45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8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17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31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5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7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61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35" w:type="pct"/>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17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45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8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17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31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5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7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61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35" w:type="pct"/>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17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45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8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17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31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5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7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61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35" w:type="pct"/>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17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45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8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17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31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5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7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61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35" w:type="pct"/>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17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45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8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17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31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5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7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61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35" w:type="pct"/>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17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45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8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17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31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5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7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61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35" w:type="pct"/>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17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45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8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17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31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5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7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61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35" w:type="pct"/>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17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45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8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17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31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5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7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61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35" w:type="pct"/>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17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45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8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17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31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5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7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61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35" w:type="pct"/>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17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45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8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17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31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126.52</w:t>
            </w:r>
          </w:p>
        </w:tc>
        <w:tc>
          <w:tcPr>
            <w:tcW w:w="45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126.52</w:t>
            </w:r>
          </w:p>
        </w:tc>
        <w:tc>
          <w:tcPr>
            <w:tcW w:w="37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61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35" w:type="pct"/>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17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45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8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17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31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5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7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61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35" w:type="pct"/>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17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45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8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17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31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5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7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61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35" w:type="pct"/>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17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45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8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17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31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5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7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61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35" w:type="pct"/>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17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45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8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17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31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5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7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61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35" w:type="pct"/>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17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45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8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17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31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5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7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61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35" w:type="pct"/>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17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45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8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17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31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5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7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61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35" w:type="pct"/>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17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45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8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17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31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5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7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61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35" w:type="pct"/>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17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45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8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17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31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5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7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61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35" w:type="pct"/>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17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45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8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17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31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5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7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61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35" w:type="pct"/>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17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45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8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17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31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5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7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61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35" w:type="pct"/>
            <w:tcBorders>
              <w:top w:val="nil"/>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0"/>
                <w:szCs w:val="20"/>
                <w:u w:val="none"/>
              </w:rPr>
            </w:pPr>
          </w:p>
        </w:tc>
        <w:tc>
          <w:tcPr>
            <w:tcW w:w="17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45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8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17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31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5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7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61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35" w:type="pct"/>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0"/>
                <w:szCs w:val="20"/>
                <w:u w:val="none"/>
              </w:rPr>
            </w:pPr>
          </w:p>
        </w:tc>
        <w:tc>
          <w:tcPr>
            <w:tcW w:w="17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45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8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17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31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5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7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61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35" w:type="pct"/>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0"/>
                <w:szCs w:val="20"/>
                <w:u w:val="none"/>
              </w:rPr>
            </w:pPr>
          </w:p>
        </w:tc>
        <w:tc>
          <w:tcPr>
            <w:tcW w:w="17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45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8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17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31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5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7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61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35"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17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45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126.52</w:t>
            </w:r>
          </w:p>
        </w:tc>
        <w:tc>
          <w:tcPr>
            <w:tcW w:w="128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17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31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126.52</w:t>
            </w:r>
          </w:p>
        </w:tc>
        <w:tc>
          <w:tcPr>
            <w:tcW w:w="45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126.52</w:t>
            </w:r>
          </w:p>
        </w:tc>
        <w:tc>
          <w:tcPr>
            <w:tcW w:w="37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61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35"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年初财政拨款结转和结余</w:t>
            </w:r>
          </w:p>
        </w:tc>
        <w:tc>
          <w:tcPr>
            <w:tcW w:w="17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45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8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年末财政拨款结转和结余</w:t>
            </w:r>
          </w:p>
        </w:tc>
        <w:tc>
          <w:tcPr>
            <w:tcW w:w="17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31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5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7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61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35"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一般公共预算财政拨款</w:t>
            </w:r>
          </w:p>
        </w:tc>
        <w:tc>
          <w:tcPr>
            <w:tcW w:w="17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45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84"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17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31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5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7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61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35"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政府性基金预算财政拨款</w:t>
            </w:r>
          </w:p>
        </w:tc>
        <w:tc>
          <w:tcPr>
            <w:tcW w:w="17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45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84"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17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31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5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7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61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35"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国有资本经营预算财政拨款</w:t>
            </w:r>
          </w:p>
        </w:tc>
        <w:tc>
          <w:tcPr>
            <w:tcW w:w="17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45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84"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17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c>
          <w:tcPr>
            <w:tcW w:w="31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5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7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61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35"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179" w:type="pct"/>
            <w:tcBorders>
              <w:top w:val="nil"/>
              <w:left w:val="nil"/>
              <w:bottom w:val="single" w:color="000000" w:sz="8"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45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126.52</w:t>
            </w:r>
          </w:p>
        </w:tc>
        <w:tc>
          <w:tcPr>
            <w:tcW w:w="128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17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31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126.52</w:t>
            </w:r>
          </w:p>
        </w:tc>
        <w:tc>
          <w:tcPr>
            <w:tcW w:w="45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126.52</w:t>
            </w:r>
          </w:p>
        </w:tc>
        <w:tc>
          <w:tcPr>
            <w:tcW w:w="37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61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386" w:type="pct"/>
            <w:gridSpan w:val="8"/>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注：本表反映部门本年度一般公共预算财政拨款、政府性基金预算财政拨款和国有资本经营预算财政拨款的总收支和年末结转结余情况。</w:t>
            </w:r>
          </w:p>
        </w:tc>
        <w:tc>
          <w:tcPr>
            <w:tcW w:w="613" w:type="pct"/>
            <w:tcBorders>
              <w:top w:val="nil"/>
              <w:left w:val="nil"/>
              <w:bottom w:val="nil"/>
              <w:right w:val="nil"/>
            </w:tcBorders>
            <w:shd w:val="clear" w:color="auto" w:fill="auto"/>
            <w:noWrap/>
            <w:vAlign w:val="center"/>
          </w:tcPr>
          <w:p>
            <w:pPr>
              <w:jc w:val="left"/>
              <w:rPr>
                <w:rFonts w:hint="eastAsia" w:ascii="宋体" w:hAnsi="宋体" w:eastAsia="宋体" w:cs="宋体"/>
                <w:i w:val="0"/>
                <w:iCs w:val="0"/>
                <w:color w:val="000000"/>
                <w:sz w:val="20"/>
                <w:szCs w:val="20"/>
                <w:u w:val="none"/>
              </w:rPr>
            </w:pPr>
          </w:p>
        </w:tc>
      </w:tr>
    </w:tbl>
    <w:p>
      <w:pPr>
        <w:rPr>
          <w:rFonts w:hint="eastAsia" w:ascii="仿宋_GB2312" w:hAnsi="仿宋_GB2312" w:eastAsia="仿宋_GB2312" w:cs="仿宋_GB2312"/>
          <w:sz w:val="32"/>
          <w:szCs w:val="32"/>
          <w:highlight w:val="none"/>
        </w:rPr>
        <w:sectPr>
          <w:pgSz w:w="16838" w:h="11906" w:orient="landscape"/>
          <w:pgMar w:top="1800" w:right="1440" w:bottom="1800" w:left="1440" w:header="720" w:footer="720" w:gutter="0"/>
          <w:pgNumType w:fmt="numberInDash"/>
          <w:cols w:space="720" w:num="1"/>
          <w:docGrid w:type="lines" w:linePitch="312" w:charSpace="0"/>
        </w:sectPr>
      </w:pPr>
    </w:p>
    <w:tbl>
      <w:tblPr>
        <w:tblStyle w:val="8"/>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660"/>
        <w:gridCol w:w="266"/>
        <w:gridCol w:w="272"/>
        <w:gridCol w:w="3200"/>
        <w:gridCol w:w="2050"/>
        <w:gridCol w:w="1987"/>
        <w:gridCol w:w="273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5000" w:type="pct"/>
            <w:gridSpan w:val="7"/>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一般公共预算财政拨款支出决算表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291" w:type="pct"/>
            <w:tcBorders>
              <w:top w:val="nil"/>
              <w:left w:val="nil"/>
              <w:bottom w:val="nil"/>
              <w:right w:val="nil"/>
            </w:tcBorders>
            <w:shd w:val="clear" w:color="auto" w:fill="auto"/>
            <w:noWrap/>
            <w:vAlign w:val="bottom"/>
          </w:tcPr>
          <w:p>
            <w:pPr>
              <w:rPr>
                <w:rFonts w:hint="eastAsia" w:ascii="Arial" w:hAnsi="Arial" w:cs="Arial"/>
                <w:i w:val="0"/>
                <w:iCs w:val="0"/>
                <w:color w:val="000000"/>
                <w:sz w:val="20"/>
                <w:szCs w:val="20"/>
                <w:u w:val="none"/>
              </w:rPr>
            </w:pPr>
          </w:p>
        </w:tc>
        <w:tc>
          <w:tcPr>
            <w:tcW w:w="94"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94"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129"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723"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701"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964" w:type="pct"/>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公开05表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291" w:type="pct"/>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部门：许昌市建安区地方海事处</w:t>
            </w:r>
          </w:p>
        </w:tc>
        <w:tc>
          <w:tcPr>
            <w:tcW w:w="94"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94"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129"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723"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701"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964" w:type="pct"/>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610"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2389" w:type="pct"/>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481" w:type="pct"/>
            <w:gridSpan w:val="3"/>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功能分类科目编码</w:t>
            </w:r>
          </w:p>
        </w:tc>
        <w:tc>
          <w:tcPr>
            <w:tcW w:w="1129" w:type="pct"/>
            <w:vMerge w:val="restar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723" w:type="pct"/>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701" w:type="pct"/>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964" w:type="pct"/>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1481" w:type="pct"/>
            <w:gridSpan w:val="3"/>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29" w:type="pct"/>
            <w:vMerge w:val="continue"/>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723" w:type="pct"/>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701" w:type="pct"/>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964" w:type="pct"/>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481" w:type="pct"/>
            <w:gridSpan w:val="3"/>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29" w:type="pct"/>
            <w:vMerge w:val="continue"/>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723" w:type="pct"/>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701" w:type="pct"/>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964" w:type="pct"/>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610" w:type="pct"/>
            <w:gridSpan w:val="4"/>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72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70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96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610" w:type="pct"/>
            <w:gridSpan w:val="4"/>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72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126.52</w:t>
            </w:r>
          </w:p>
        </w:tc>
        <w:tc>
          <w:tcPr>
            <w:tcW w:w="70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126.52</w:t>
            </w:r>
          </w:p>
        </w:tc>
        <w:tc>
          <w:tcPr>
            <w:tcW w:w="96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481"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w:t>
            </w:r>
          </w:p>
        </w:tc>
        <w:tc>
          <w:tcPr>
            <w:tcW w:w="112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交通运输支出</w:t>
            </w:r>
          </w:p>
        </w:tc>
        <w:tc>
          <w:tcPr>
            <w:tcW w:w="72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126.52</w:t>
            </w:r>
          </w:p>
        </w:tc>
        <w:tc>
          <w:tcPr>
            <w:tcW w:w="70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126.52</w:t>
            </w:r>
          </w:p>
        </w:tc>
        <w:tc>
          <w:tcPr>
            <w:tcW w:w="96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481"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21401</w:t>
            </w:r>
          </w:p>
        </w:tc>
        <w:tc>
          <w:tcPr>
            <w:tcW w:w="112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公路水路运输</w:t>
            </w:r>
          </w:p>
        </w:tc>
        <w:tc>
          <w:tcPr>
            <w:tcW w:w="72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126.52</w:t>
            </w:r>
          </w:p>
        </w:tc>
        <w:tc>
          <w:tcPr>
            <w:tcW w:w="70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126.52</w:t>
            </w:r>
          </w:p>
        </w:tc>
        <w:tc>
          <w:tcPr>
            <w:tcW w:w="96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81"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2140199</w:t>
            </w:r>
          </w:p>
        </w:tc>
        <w:tc>
          <w:tcPr>
            <w:tcW w:w="112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其他公路水路运输支出</w:t>
            </w:r>
          </w:p>
        </w:tc>
        <w:tc>
          <w:tcPr>
            <w:tcW w:w="72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126.52</w:t>
            </w:r>
          </w:p>
        </w:tc>
        <w:tc>
          <w:tcPr>
            <w:tcW w:w="70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126.52</w:t>
            </w:r>
          </w:p>
        </w:tc>
        <w:tc>
          <w:tcPr>
            <w:tcW w:w="96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81"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1129"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72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70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96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81"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1129"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72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70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96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81"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1129"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72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70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96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81"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1129"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72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70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96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81"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1129"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72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70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96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000" w:type="pct"/>
            <w:gridSpan w:val="7"/>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注：本表反映部门本年度一般公共预算财政拨款支出情况。</w:t>
            </w:r>
          </w:p>
        </w:tc>
      </w:tr>
    </w:tbl>
    <w:p>
      <w:pPr>
        <w:rPr>
          <w:rFonts w:hint="eastAsia" w:ascii="仿宋_GB2312" w:hAnsi="仿宋_GB2312" w:eastAsia="仿宋_GB2312" w:cs="仿宋_GB2312"/>
          <w:sz w:val="32"/>
          <w:szCs w:val="32"/>
          <w:highlight w:val="none"/>
        </w:rPr>
        <w:sectPr>
          <w:pgSz w:w="16838" w:h="11906" w:orient="landscape"/>
          <w:pgMar w:top="1800" w:right="1440" w:bottom="1800" w:left="1440" w:header="720" w:footer="720" w:gutter="0"/>
          <w:pgNumType w:fmt="numberInDash"/>
          <w:cols w:space="720" w:num="1"/>
          <w:docGrid w:type="lines" w:linePitch="312" w:charSpace="0"/>
        </w:sectPr>
      </w:pPr>
    </w:p>
    <w:tbl>
      <w:tblPr>
        <w:tblStyle w:val="8"/>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38"/>
        <w:gridCol w:w="3352"/>
        <w:gridCol w:w="843"/>
        <w:gridCol w:w="739"/>
        <w:gridCol w:w="2307"/>
        <w:gridCol w:w="634"/>
        <w:gridCol w:w="739"/>
        <w:gridCol w:w="4188"/>
        <w:gridCol w:w="63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5000" w:type="pct"/>
            <w:gridSpan w:val="9"/>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一般公共预算财政拨款基本支出决算表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255" w:type="pct"/>
            <w:tcBorders>
              <w:top w:val="nil"/>
              <w:left w:val="nil"/>
              <w:bottom w:val="nil"/>
              <w:right w:val="nil"/>
            </w:tcBorders>
            <w:shd w:val="clear" w:color="auto" w:fill="auto"/>
            <w:noWrap/>
            <w:vAlign w:val="bottom"/>
          </w:tcPr>
          <w:p>
            <w:pPr>
              <w:rPr>
                <w:rFonts w:hint="eastAsia" w:ascii="Arial" w:hAnsi="Arial" w:cs="Arial"/>
                <w:i w:val="0"/>
                <w:iCs w:val="0"/>
                <w:color w:val="000000"/>
                <w:sz w:val="20"/>
                <w:szCs w:val="20"/>
                <w:u w:val="none"/>
              </w:rPr>
            </w:pPr>
          </w:p>
        </w:tc>
        <w:tc>
          <w:tcPr>
            <w:tcW w:w="1151"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291"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255"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793"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219"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255"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778" w:type="pct"/>
            <w:gridSpan w:val="2"/>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公开06表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406" w:type="pct"/>
            <w:gridSpan w:val="2"/>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部门：许昌市建安区地方海事处</w:t>
            </w:r>
          </w:p>
        </w:tc>
        <w:tc>
          <w:tcPr>
            <w:tcW w:w="291"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255"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793"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219"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255"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778" w:type="pct"/>
            <w:gridSpan w:val="2"/>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69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w:t>
            </w:r>
          </w:p>
        </w:tc>
        <w:tc>
          <w:tcPr>
            <w:tcW w:w="3301" w:type="pct"/>
            <w:gridSpan w:val="6"/>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55" w:type="pct"/>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科目编码</w:t>
            </w:r>
          </w:p>
        </w:tc>
        <w:tc>
          <w:tcPr>
            <w:tcW w:w="1151" w:type="pct"/>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291" w:type="pct"/>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c>
          <w:tcPr>
            <w:tcW w:w="255" w:type="pct"/>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科目编码</w:t>
            </w:r>
          </w:p>
        </w:tc>
        <w:tc>
          <w:tcPr>
            <w:tcW w:w="793" w:type="pct"/>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219" w:type="pct"/>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c>
          <w:tcPr>
            <w:tcW w:w="255" w:type="pct"/>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科目编码</w:t>
            </w:r>
          </w:p>
        </w:tc>
        <w:tc>
          <w:tcPr>
            <w:tcW w:w="1438" w:type="pct"/>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340" w:type="pct"/>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55" w:type="pct"/>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51" w:type="pct"/>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91" w:type="pct"/>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55" w:type="pct"/>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793" w:type="pct"/>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19" w:type="pct"/>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55" w:type="pct"/>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438" w:type="pct"/>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340" w:type="pct"/>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55"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115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工资福利支出</w:t>
            </w:r>
          </w:p>
        </w:tc>
        <w:tc>
          <w:tcPr>
            <w:tcW w:w="29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124.85</w:t>
            </w:r>
          </w:p>
        </w:tc>
        <w:tc>
          <w:tcPr>
            <w:tcW w:w="25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79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商品和服务支出</w:t>
            </w:r>
          </w:p>
        </w:tc>
        <w:tc>
          <w:tcPr>
            <w:tcW w:w="21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1.68</w:t>
            </w:r>
          </w:p>
        </w:tc>
        <w:tc>
          <w:tcPr>
            <w:tcW w:w="25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w:t>
            </w:r>
          </w:p>
        </w:tc>
        <w:tc>
          <w:tcPr>
            <w:tcW w:w="143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债务利息及费用支出</w:t>
            </w:r>
          </w:p>
        </w:tc>
        <w:tc>
          <w:tcPr>
            <w:tcW w:w="34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55"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30101</w:t>
            </w:r>
          </w:p>
        </w:tc>
        <w:tc>
          <w:tcPr>
            <w:tcW w:w="115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基本工资</w:t>
            </w:r>
          </w:p>
        </w:tc>
        <w:tc>
          <w:tcPr>
            <w:tcW w:w="29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31.51</w:t>
            </w:r>
          </w:p>
        </w:tc>
        <w:tc>
          <w:tcPr>
            <w:tcW w:w="25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30201</w:t>
            </w:r>
          </w:p>
        </w:tc>
        <w:tc>
          <w:tcPr>
            <w:tcW w:w="79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办公费</w:t>
            </w:r>
          </w:p>
        </w:tc>
        <w:tc>
          <w:tcPr>
            <w:tcW w:w="21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1.68</w:t>
            </w:r>
          </w:p>
        </w:tc>
        <w:tc>
          <w:tcPr>
            <w:tcW w:w="25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30701</w:t>
            </w:r>
          </w:p>
        </w:tc>
        <w:tc>
          <w:tcPr>
            <w:tcW w:w="143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国内债务付息</w:t>
            </w:r>
          </w:p>
        </w:tc>
        <w:tc>
          <w:tcPr>
            <w:tcW w:w="34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55"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w:t>
            </w:r>
          </w:p>
        </w:tc>
        <w:tc>
          <w:tcPr>
            <w:tcW w:w="115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津贴补贴</w:t>
            </w:r>
          </w:p>
        </w:tc>
        <w:tc>
          <w:tcPr>
            <w:tcW w:w="29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3.42</w:t>
            </w:r>
          </w:p>
        </w:tc>
        <w:tc>
          <w:tcPr>
            <w:tcW w:w="25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30202</w:t>
            </w:r>
          </w:p>
        </w:tc>
        <w:tc>
          <w:tcPr>
            <w:tcW w:w="79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印刷费</w:t>
            </w:r>
          </w:p>
        </w:tc>
        <w:tc>
          <w:tcPr>
            <w:tcW w:w="21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5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30702</w:t>
            </w:r>
          </w:p>
        </w:tc>
        <w:tc>
          <w:tcPr>
            <w:tcW w:w="143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国外债务付息</w:t>
            </w:r>
          </w:p>
        </w:tc>
        <w:tc>
          <w:tcPr>
            <w:tcW w:w="34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55"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w:t>
            </w:r>
          </w:p>
        </w:tc>
        <w:tc>
          <w:tcPr>
            <w:tcW w:w="115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奖金</w:t>
            </w:r>
          </w:p>
        </w:tc>
        <w:tc>
          <w:tcPr>
            <w:tcW w:w="29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24.63</w:t>
            </w:r>
          </w:p>
        </w:tc>
        <w:tc>
          <w:tcPr>
            <w:tcW w:w="25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30203</w:t>
            </w:r>
          </w:p>
        </w:tc>
        <w:tc>
          <w:tcPr>
            <w:tcW w:w="79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咨询费</w:t>
            </w:r>
          </w:p>
        </w:tc>
        <w:tc>
          <w:tcPr>
            <w:tcW w:w="21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5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w:t>
            </w:r>
          </w:p>
        </w:tc>
        <w:tc>
          <w:tcPr>
            <w:tcW w:w="143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资本性支出</w:t>
            </w:r>
          </w:p>
        </w:tc>
        <w:tc>
          <w:tcPr>
            <w:tcW w:w="34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55"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30106</w:t>
            </w:r>
          </w:p>
        </w:tc>
        <w:tc>
          <w:tcPr>
            <w:tcW w:w="115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伙食补助费</w:t>
            </w:r>
          </w:p>
        </w:tc>
        <w:tc>
          <w:tcPr>
            <w:tcW w:w="29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5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30204</w:t>
            </w:r>
          </w:p>
        </w:tc>
        <w:tc>
          <w:tcPr>
            <w:tcW w:w="79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手续费</w:t>
            </w:r>
          </w:p>
        </w:tc>
        <w:tc>
          <w:tcPr>
            <w:tcW w:w="21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5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31001</w:t>
            </w:r>
          </w:p>
        </w:tc>
        <w:tc>
          <w:tcPr>
            <w:tcW w:w="143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房屋建筑物购建</w:t>
            </w:r>
          </w:p>
        </w:tc>
        <w:tc>
          <w:tcPr>
            <w:tcW w:w="34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55"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30107</w:t>
            </w:r>
          </w:p>
        </w:tc>
        <w:tc>
          <w:tcPr>
            <w:tcW w:w="115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绩效工资</w:t>
            </w:r>
          </w:p>
        </w:tc>
        <w:tc>
          <w:tcPr>
            <w:tcW w:w="29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21.68</w:t>
            </w:r>
          </w:p>
        </w:tc>
        <w:tc>
          <w:tcPr>
            <w:tcW w:w="25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30205</w:t>
            </w:r>
          </w:p>
        </w:tc>
        <w:tc>
          <w:tcPr>
            <w:tcW w:w="79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水费</w:t>
            </w:r>
          </w:p>
        </w:tc>
        <w:tc>
          <w:tcPr>
            <w:tcW w:w="21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5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31002</w:t>
            </w:r>
          </w:p>
        </w:tc>
        <w:tc>
          <w:tcPr>
            <w:tcW w:w="143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办公设备购置</w:t>
            </w:r>
          </w:p>
        </w:tc>
        <w:tc>
          <w:tcPr>
            <w:tcW w:w="34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55"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30108</w:t>
            </w:r>
          </w:p>
        </w:tc>
        <w:tc>
          <w:tcPr>
            <w:tcW w:w="115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w:t>
            </w:r>
          </w:p>
        </w:tc>
        <w:tc>
          <w:tcPr>
            <w:tcW w:w="29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14.84</w:t>
            </w:r>
          </w:p>
        </w:tc>
        <w:tc>
          <w:tcPr>
            <w:tcW w:w="25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30206</w:t>
            </w:r>
          </w:p>
        </w:tc>
        <w:tc>
          <w:tcPr>
            <w:tcW w:w="79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电费</w:t>
            </w:r>
          </w:p>
        </w:tc>
        <w:tc>
          <w:tcPr>
            <w:tcW w:w="21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5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31003</w:t>
            </w:r>
          </w:p>
        </w:tc>
        <w:tc>
          <w:tcPr>
            <w:tcW w:w="143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专用设备购置</w:t>
            </w:r>
          </w:p>
        </w:tc>
        <w:tc>
          <w:tcPr>
            <w:tcW w:w="34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55"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30109</w:t>
            </w:r>
          </w:p>
        </w:tc>
        <w:tc>
          <w:tcPr>
            <w:tcW w:w="115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职业年金缴费</w:t>
            </w:r>
          </w:p>
        </w:tc>
        <w:tc>
          <w:tcPr>
            <w:tcW w:w="29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25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30207</w:t>
            </w:r>
          </w:p>
        </w:tc>
        <w:tc>
          <w:tcPr>
            <w:tcW w:w="79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邮电费</w:t>
            </w:r>
          </w:p>
        </w:tc>
        <w:tc>
          <w:tcPr>
            <w:tcW w:w="21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5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31005</w:t>
            </w:r>
          </w:p>
        </w:tc>
        <w:tc>
          <w:tcPr>
            <w:tcW w:w="143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基础设施建设</w:t>
            </w:r>
          </w:p>
        </w:tc>
        <w:tc>
          <w:tcPr>
            <w:tcW w:w="34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55"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30110</w:t>
            </w:r>
          </w:p>
        </w:tc>
        <w:tc>
          <w:tcPr>
            <w:tcW w:w="115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职工基本医疗保险缴费</w:t>
            </w:r>
          </w:p>
        </w:tc>
        <w:tc>
          <w:tcPr>
            <w:tcW w:w="29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5.30</w:t>
            </w:r>
          </w:p>
        </w:tc>
        <w:tc>
          <w:tcPr>
            <w:tcW w:w="25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30208</w:t>
            </w:r>
          </w:p>
        </w:tc>
        <w:tc>
          <w:tcPr>
            <w:tcW w:w="79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取暖费</w:t>
            </w:r>
          </w:p>
        </w:tc>
        <w:tc>
          <w:tcPr>
            <w:tcW w:w="21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5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31006</w:t>
            </w:r>
          </w:p>
        </w:tc>
        <w:tc>
          <w:tcPr>
            <w:tcW w:w="143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大型修缮</w:t>
            </w:r>
          </w:p>
        </w:tc>
        <w:tc>
          <w:tcPr>
            <w:tcW w:w="34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55"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30111</w:t>
            </w:r>
          </w:p>
        </w:tc>
        <w:tc>
          <w:tcPr>
            <w:tcW w:w="115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公务员医疗补助缴费</w:t>
            </w:r>
          </w:p>
        </w:tc>
        <w:tc>
          <w:tcPr>
            <w:tcW w:w="29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5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30209</w:t>
            </w:r>
          </w:p>
        </w:tc>
        <w:tc>
          <w:tcPr>
            <w:tcW w:w="79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物业管理费</w:t>
            </w:r>
          </w:p>
        </w:tc>
        <w:tc>
          <w:tcPr>
            <w:tcW w:w="21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5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31007</w:t>
            </w:r>
          </w:p>
        </w:tc>
        <w:tc>
          <w:tcPr>
            <w:tcW w:w="143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信息网络及软件购置更新</w:t>
            </w:r>
          </w:p>
        </w:tc>
        <w:tc>
          <w:tcPr>
            <w:tcW w:w="34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55"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w:t>
            </w:r>
          </w:p>
        </w:tc>
        <w:tc>
          <w:tcPr>
            <w:tcW w:w="115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其他社会保障缴费</w:t>
            </w:r>
          </w:p>
        </w:tc>
        <w:tc>
          <w:tcPr>
            <w:tcW w:w="29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5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30211</w:t>
            </w:r>
          </w:p>
        </w:tc>
        <w:tc>
          <w:tcPr>
            <w:tcW w:w="79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差旅费</w:t>
            </w:r>
          </w:p>
        </w:tc>
        <w:tc>
          <w:tcPr>
            <w:tcW w:w="21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5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31008</w:t>
            </w:r>
          </w:p>
        </w:tc>
        <w:tc>
          <w:tcPr>
            <w:tcW w:w="143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物资储备</w:t>
            </w:r>
          </w:p>
        </w:tc>
        <w:tc>
          <w:tcPr>
            <w:tcW w:w="34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55"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30113</w:t>
            </w:r>
          </w:p>
        </w:tc>
        <w:tc>
          <w:tcPr>
            <w:tcW w:w="115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29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21.34</w:t>
            </w:r>
          </w:p>
        </w:tc>
        <w:tc>
          <w:tcPr>
            <w:tcW w:w="25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30212</w:t>
            </w:r>
          </w:p>
        </w:tc>
        <w:tc>
          <w:tcPr>
            <w:tcW w:w="79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因公出国（境）费用</w:t>
            </w:r>
          </w:p>
        </w:tc>
        <w:tc>
          <w:tcPr>
            <w:tcW w:w="21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5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31009</w:t>
            </w:r>
          </w:p>
        </w:tc>
        <w:tc>
          <w:tcPr>
            <w:tcW w:w="143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土地补偿</w:t>
            </w:r>
          </w:p>
        </w:tc>
        <w:tc>
          <w:tcPr>
            <w:tcW w:w="34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55"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30114</w:t>
            </w:r>
          </w:p>
        </w:tc>
        <w:tc>
          <w:tcPr>
            <w:tcW w:w="115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医疗费</w:t>
            </w:r>
          </w:p>
        </w:tc>
        <w:tc>
          <w:tcPr>
            <w:tcW w:w="29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5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30213</w:t>
            </w:r>
          </w:p>
        </w:tc>
        <w:tc>
          <w:tcPr>
            <w:tcW w:w="79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维修（护）费</w:t>
            </w:r>
          </w:p>
        </w:tc>
        <w:tc>
          <w:tcPr>
            <w:tcW w:w="21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5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31010</w:t>
            </w:r>
          </w:p>
        </w:tc>
        <w:tc>
          <w:tcPr>
            <w:tcW w:w="143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安置补助</w:t>
            </w:r>
          </w:p>
        </w:tc>
        <w:tc>
          <w:tcPr>
            <w:tcW w:w="34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55"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30199</w:t>
            </w:r>
          </w:p>
        </w:tc>
        <w:tc>
          <w:tcPr>
            <w:tcW w:w="115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其他工资福利支出</w:t>
            </w:r>
          </w:p>
        </w:tc>
        <w:tc>
          <w:tcPr>
            <w:tcW w:w="29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5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30214</w:t>
            </w:r>
          </w:p>
        </w:tc>
        <w:tc>
          <w:tcPr>
            <w:tcW w:w="79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租赁费</w:t>
            </w:r>
          </w:p>
        </w:tc>
        <w:tc>
          <w:tcPr>
            <w:tcW w:w="21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5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31011</w:t>
            </w:r>
          </w:p>
        </w:tc>
        <w:tc>
          <w:tcPr>
            <w:tcW w:w="143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地上附着物和青苗补偿</w:t>
            </w:r>
          </w:p>
        </w:tc>
        <w:tc>
          <w:tcPr>
            <w:tcW w:w="34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55"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w:t>
            </w:r>
          </w:p>
        </w:tc>
        <w:tc>
          <w:tcPr>
            <w:tcW w:w="115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对个人和家庭的补助</w:t>
            </w:r>
          </w:p>
        </w:tc>
        <w:tc>
          <w:tcPr>
            <w:tcW w:w="29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5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30215</w:t>
            </w:r>
          </w:p>
        </w:tc>
        <w:tc>
          <w:tcPr>
            <w:tcW w:w="79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会议费</w:t>
            </w:r>
          </w:p>
        </w:tc>
        <w:tc>
          <w:tcPr>
            <w:tcW w:w="21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5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31012</w:t>
            </w:r>
          </w:p>
        </w:tc>
        <w:tc>
          <w:tcPr>
            <w:tcW w:w="143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拆迁补偿</w:t>
            </w:r>
          </w:p>
        </w:tc>
        <w:tc>
          <w:tcPr>
            <w:tcW w:w="34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55"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30301</w:t>
            </w:r>
          </w:p>
        </w:tc>
        <w:tc>
          <w:tcPr>
            <w:tcW w:w="115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离休费</w:t>
            </w:r>
          </w:p>
        </w:tc>
        <w:tc>
          <w:tcPr>
            <w:tcW w:w="29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5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30216</w:t>
            </w:r>
          </w:p>
        </w:tc>
        <w:tc>
          <w:tcPr>
            <w:tcW w:w="79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培训费</w:t>
            </w:r>
          </w:p>
        </w:tc>
        <w:tc>
          <w:tcPr>
            <w:tcW w:w="21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5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31013</w:t>
            </w:r>
          </w:p>
        </w:tc>
        <w:tc>
          <w:tcPr>
            <w:tcW w:w="143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公务用车购置</w:t>
            </w:r>
          </w:p>
        </w:tc>
        <w:tc>
          <w:tcPr>
            <w:tcW w:w="34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55"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30302</w:t>
            </w:r>
          </w:p>
        </w:tc>
        <w:tc>
          <w:tcPr>
            <w:tcW w:w="115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退休费</w:t>
            </w:r>
          </w:p>
        </w:tc>
        <w:tc>
          <w:tcPr>
            <w:tcW w:w="29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5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30217</w:t>
            </w:r>
          </w:p>
        </w:tc>
        <w:tc>
          <w:tcPr>
            <w:tcW w:w="79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公务接待费</w:t>
            </w:r>
          </w:p>
        </w:tc>
        <w:tc>
          <w:tcPr>
            <w:tcW w:w="21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5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31019</w:t>
            </w:r>
          </w:p>
        </w:tc>
        <w:tc>
          <w:tcPr>
            <w:tcW w:w="143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其他交通工具购置</w:t>
            </w:r>
          </w:p>
        </w:tc>
        <w:tc>
          <w:tcPr>
            <w:tcW w:w="34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55"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30303</w:t>
            </w:r>
          </w:p>
        </w:tc>
        <w:tc>
          <w:tcPr>
            <w:tcW w:w="115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退职（役）费</w:t>
            </w:r>
          </w:p>
        </w:tc>
        <w:tc>
          <w:tcPr>
            <w:tcW w:w="29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5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30218</w:t>
            </w:r>
          </w:p>
        </w:tc>
        <w:tc>
          <w:tcPr>
            <w:tcW w:w="79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专用材料费</w:t>
            </w:r>
          </w:p>
        </w:tc>
        <w:tc>
          <w:tcPr>
            <w:tcW w:w="21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5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31021</w:t>
            </w:r>
          </w:p>
        </w:tc>
        <w:tc>
          <w:tcPr>
            <w:tcW w:w="143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文物和陈列品购置</w:t>
            </w:r>
          </w:p>
        </w:tc>
        <w:tc>
          <w:tcPr>
            <w:tcW w:w="34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55"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30304</w:t>
            </w:r>
          </w:p>
        </w:tc>
        <w:tc>
          <w:tcPr>
            <w:tcW w:w="115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抚恤金</w:t>
            </w:r>
          </w:p>
        </w:tc>
        <w:tc>
          <w:tcPr>
            <w:tcW w:w="29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5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30224</w:t>
            </w:r>
          </w:p>
        </w:tc>
        <w:tc>
          <w:tcPr>
            <w:tcW w:w="79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被装购置费</w:t>
            </w:r>
          </w:p>
        </w:tc>
        <w:tc>
          <w:tcPr>
            <w:tcW w:w="21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5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31022</w:t>
            </w:r>
          </w:p>
        </w:tc>
        <w:tc>
          <w:tcPr>
            <w:tcW w:w="143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无形资产购置</w:t>
            </w:r>
          </w:p>
        </w:tc>
        <w:tc>
          <w:tcPr>
            <w:tcW w:w="34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55"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30305</w:t>
            </w:r>
          </w:p>
        </w:tc>
        <w:tc>
          <w:tcPr>
            <w:tcW w:w="115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生活补助</w:t>
            </w:r>
          </w:p>
        </w:tc>
        <w:tc>
          <w:tcPr>
            <w:tcW w:w="29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5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30225</w:t>
            </w:r>
          </w:p>
        </w:tc>
        <w:tc>
          <w:tcPr>
            <w:tcW w:w="79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专用燃料费</w:t>
            </w:r>
          </w:p>
        </w:tc>
        <w:tc>
          <w:tcPr>
            <w:tcW w:w="21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5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31099</w:t>
            </w:r>
          </w:p>
        </w:tc>
        <w:tc>
          <w:tcPr>
            <w:tcW w:w="143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其他资本性支出</w:t>
            </w:r>
          </w:p>
        </w:tc>
        <w:tc>
          <w:tcPr>
            <w:tcW w:w="34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55"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30306</w:t>
            </w:r>
          </w:p>
        </w:tc>
        <w:tc>
          <w:tcPr>
            <w:tcW w:w="115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救济费</w:t>
            </w:r>
          </w:p>
        </w:tc>
        <w:tc>
          <w:tcPr>
            <w:tcW w:w="29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5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30226</w:t>
            </w:r>
          </w:p>
        </w:tc>
        <w:tc>
          <w:tcPr>
            <w:tcW w:w="79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劳务费</w:t>
            </w:r>
          </w:p>
        </w:tc>
        <w:tc>
          <w:tcPr>
            <w:tcW w:w="21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5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w:t>
            </w:r>
          </w:p>
        </w:tc>
        <w:tc>
          <w:tcPr>
            <w:tcW w:w="143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34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55"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30307</w:t>
            </w:r>
          </w:p>
        </w:tc>
        <w:tc>
          <w:tcPr>
            <w:tcW w:w="115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医疗费补助</w:t>
            </w:r>
          </w:p>
        </w:tc>
        <w:tc>
          <w:tcPr>
            <w:tcW w:w="29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5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30227</w:t>
            </w:r>
          </w:p>
        </w:tc>
        <w:tc>
          <w:tcPr>
            <w:tcW w:w="79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委托业务费</w:t>
            </w:r>
          </w:p>
        </w:tc>
        <w:tc>
          <w:tcPr>
            <w:tcW w:w="21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5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39906</w:t>
            </w:r>
          </w:p>
        </w:tc>
        <w:tc>
          <w:tcPr>
            <w:tcW w:w="143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赠与</w:t>
            </w:r>
          </w:p>
        </w:tc>
        <w:tc>
          <w:tcPr>
            <w:tcW w:w="34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55"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30308</w:t>
            </w:r>
          </w:p>
        </w:tc>
        <w:tc>
          <w:tcPr>
            <w:tcW w:w="115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助学金</w:t>
            </w:r>
          </w:p>
        </w:tc>
        <w:tc>
          <w:tcPr>
            <w:tcW w:w="29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5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30228</w:t>
            </w:r>
          </w:p>
        </w:tc>
        <w:tc>
          <w:tcPr>
            <w:tcW w:w="79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工会经费</w:t>
            </w:r>
          </w:p>
        </w:tc>
        <w:tc>
          <w:tcPr>
            <w:tcW w:w="21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5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39907</w:t>
            </w:r>
          </w:p>
        </w:tc>
        <w:tc>
          <w:tcPr>
            <w:tcW w:w="143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国家赔偿费用支出</w:t>
            </w:r>
          </w:p>
        </w:tc>
        <w:tc>
          <w:tcPr>
            <w:tcW w:w="34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55"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30309</w:t>
            </w:r>
          </w:p>
        </w:tc>
        <w:tc>
          <w:tcPr>
            <w:tcW w:w="115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奖励金</w:t>
            </w:r>
          </w:p>
        </w:tc>
        <w:tc>
          <w:tcPr>
            <w:tcW w:w="29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5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30229</w:t>
            </w:r>
          </w:p>
        </w:tc>
        <w:tc>
          <w:tcPr>
            <w:tcW w:w="79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福利费</w:t>
            </w:r>
          </w:p>
        </w:tc>
        <w:tc>
          <w:tcPr>
            <w:tcW w:w="21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5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39908</w:t>
            </w:r>
          </w:p>
        </w:tc>
        <w:tc>
          <w:tcPr>
            <w:tcW w:w="143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对民间非营利组织和群众性自治组织补贴</w:t>
            </w:r>
          </w:p>
        </w:tc>
        <w:tc>
          <w:tcPr>
            <w:tcW w:w="34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55"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30310</w:t>
            </w:r>
          </w:p>
        </w:tc>
        <w:tc>
          <w:tcPr>
            <w:tcW w:w="115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个人农业生产补贴</w:t>
            </w:r>
          </w:p>
        </w:tc>
        <w:tc>
          <w:tcPr>
            <w:tcW w:w="29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5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30231</w:t>
            </w:r>
          </w:p>
        </w:tc>
        <w:tc>
          <w:tcPr>
            <w:tcW w:w="79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公务用车运行维护费</w:t>
            </w:r>
          </w:p>
        </w:tc>
        <w:tc>
          <w:tcPr>
            <w:tcW w:w="21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5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39999</w:t>
            </w:r>
          </w:p>
        </w:tc>
        <w:tc>
          <w:tcPr>
            <w:tcW w:w="143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其他支出</w:t>
            </w:r>
          </w:p>
        </w:tc>
        <w:tc>
          <w:tcPr>
            <w:tcW w:w="34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55"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30311</w:t>
            </w:r>
          </w:p>
        </w:tc>
        <w:tc>
          <w:tcPr>
            <w:tcW w:w="115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代缴社会保险费</w:t>
            </w:r>
          </w:p>
        </w:tc>
        <w:tc>
          <w:tcPr>
            <w:tcW w:w="29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5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30239</w:t>
            </w:r>
          </w:p>
        </w:tc>
        <w:tc>
          <w:tcPr>
            <w:tcW w:w="79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其他交通费用</w:t>
            </w:r>
          </w:p>
        </w:tc>
        <w:tc>
          <w:tcPr>
            <w:tcW w:w="21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55"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1438"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34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55"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30399</w:t>
            </w:r>
          </w:p>
        </w:tc>
        <w:tc>
          <w:tcPr>
            <w:tcW w:w="115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其他对个人和家庭的补助</w:t>
            </w:r>
          </w:p>
        </w:tc>
        <w:tc>
          <w:tcPr>
            <w:tcW w:w="29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5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30240</w:t>
            </w:r>
          </w:p>
        </w:tc>
        <w:tc>
          <w:tcPr>
            <w:tcW w:w="79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税金及附加费用</w:t>
            </w:r>
          </w:p>
        </w:tc>
        <w:tc>
          <w:tcPr>
            <w:tcW w:w="21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55"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1438"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34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55" w:type="pct"/>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1151"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29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5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30299</w:t>
            </w:r>
          </w:p>
        </w:tc>
        <w:tc>
          <w:tcPr>
            <w:tcW w:w="79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其他商品和服务支出</w:t>
            </w:r>
          </w:p>
        </w:tc>
        <w:tc>
          <w:tcPr>
            <w:tcW w:w="21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55"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1438"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34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406" w:type="pct"/>
            <w:gridSpan w:val="2"/>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人员经费合计</w:t>
            </w:r>
          </w:p>
        </w:tc>
        <w:tc>
          <w:tcPr>
            <w:tcW w:w="29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124.85</w:t>
            </w:r>
          </w:p>
        </w:tc>
        <w:tc>
          <w:tcPr>
            <w:tcW w:w="2961" w:type="pct"/>
            <w:gridSpan w:val="5"/>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公用经费合计</w:t>
            </w:r>
          </w:p>
        </w:tc>
        <w:tc>
          <w:tcPr>
            <w:tcW w:w="34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5000" w:type="pct"/>
            <w:gridSpan w:val="9"/>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注：本表反映部门本年度一般公共预算财政拨款基本支出明细情况。</w:t>
            </w:r>
          </w:p>
        </w:tc>
      </w:tr>
    </w:tbl>
    <w:p>
      <w:pPr>
        <w:rPr>
          <w:rFonts w:hint="eastAsia" w:ascii="仿宋_GB2312" w:hAnsi="仿宋_GB2312" w:eastAsia="仿宋_GB2312" w:cs="仿宋_GB2312"/>
          <w:sz w:val="32"/>
          <w:szCs w:val="32"/>
          <w:highlight w:val="none"/>
        </w:rPr>
        <w:sectPr>
          <w:pgSz w:w="16838" w:h="11906" w:orient="landscape"/>
          <w:pgMar w:top="1800" w:right="1440" w:bottom="1800" w:left="1440" w:header="720" w:footer="720" w:gutter="0"/>
          <w:pgNumType w:fmt="numberInDash"/>
          <w:cols w:space="720" w:num="1"/>
          <w:docGrid w:type="lines" w:linePitch="312" w:charSpace="0"/>
        </w:sectPr>
      </w:pPr>
    </w:p>
    <w:tbl>
      <w:tblPr>
        <w:tblStyle w:val="8"/>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016"/>
        <w:gridCol w:w="1084"/>
        <w:gridCol w:w="897"/>
        <w:gridCol w:w="897"/>
        <w:gridCol w:w="900"/>
        <w:gridCol w:w="903"/>
        <w:gridCol w:w="898"/>
        <w:gridCol w:w="1085"/>
        <w:gridCol w:w="898"/>
        <w:gridCol w:w="898"/>
        <w:gridCol w:w="901"/>
        <w:gridCol w:w="16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000" w:type="pct"/>
            <w:gridSpan w:val="12"/>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44"/>
                <w:szCs w:val="44"/>
                <w:u w:val="none"/>
              </w:rPr>
            </w:pPr>
            <w:r>
              <w:rPr>
                <w:rFonts w:hint="eastAsia" w:ascii="宋体" w:hAnsi="宋体" w:eastAsia="宋体" w:cs="宋体"/>
                <w:i w:val="0"/>
                <w:iCs w:val="0"/>
                <w:color w:val="000000"/>
                <w:kern w:val="0"/>
                <w:sz w:val="30"/>
                <w:szCs w:val="30"/>
                <w:u w:val="none"/>
                <w:lang w:val="en-US" w:eastAsia="zh-CN" w:bidi="ar"/>
              </w:rPr>
              <w:t>一般公共预算财政拨款“三公”经费支出决算表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890" w:type="pct"/>
            <w:tcBorders>
              <w:top w:val="nil"/>
              <w:left w:val="nil"/>
              <w:bottom w:val="nil"/>
              <w:right w:val="nil"/>
            </w:tcBorders>
            <w:shd w:val="clear" w:color="auto" w:fill="auto"/>
            <w:noWrap/>
            <w:vAlign w:val="bottom"/>
          </w:tcPr>
          <w:p>
            <w:pPr>
              <w:rPr>
                <w:rFonts w:hint="eastAsia" w:ascii="Arial" w:hAnsi="Arial" w:cs="Arial"/>
                <w:i w:val="0"/>
                <w:iCs w:val="0"/>
                <w:color w:val="000000"/>
                <w:sz w:val="20"/>
                <w:szCs w:val="20"/>
                <w:u w:val="none"/>
              </w:rPr>
            </w:pPr>
          </w:p>
        </w:tc>
        <w:tc>
          <w:tcPr>
            <w:tcW w:w="416"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349"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349"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349"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349"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349"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416"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349"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349"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349"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480" w:type="pct"/>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公开07表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890" w:type="pct"/>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部门：许昌市建安区地方海事处</w:t>
            </w:r>
          </w:p>
        </w:tc>
        <w:tc>
          <w:tcPr>
            <w:tcW w:w="416"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349"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349"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349"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349"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349"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416"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349"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349"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349"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480" w:type="pct"/>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704"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预算数</w:t>
            </w:r>
          </w:p>
        </w:tc>
        <w:tc>
          <w:tcPr>
            <w:tcW w:w="2295" w:type="pct"/>
            <w:gridSpan w:val="6"/>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890" w:type="pct"/>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416" w:type="pct"/>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因公出国（境）费</w:t>
            </w:r>
          </w:p>
        </w:tc>
        <w:tc>
          <w:tcPr>
            <w:tcW w:w="1048" w:type="pct"/>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公务用车购置及运行费</w:t>
            </w:r>
          </w:p>
        </w:tc>
        <w:tc>
          <w:tcPr>
            <w:tcW w:w="349" w:type="pct"/>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公务接待费</w:t>
            </w:r>
          </w:p>
        </w:tc>
        <w:tc>
          <w:tcPr>
            <w:tcW w:w="349" w:type="pct"/>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416" w:type="pct"/>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因公出国（境）费</w:t>
            </w:r>
          </w:p>
        </w:tc>
        <w:tc>
          <w:tcPr>
            <w:tcW w:w="1048" w:type="pct"/>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公务用车购置及运行费</w:t>
            </w:r>
          </w:p>
        </w:tc>
        <w:tc>
          <w:tcPr>
            <w:tcW w:w="480" w:type="pct"/>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890" w:type="pct"/>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16" w:type="pct"/>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349" w:type="pc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349" w:type="pc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公务用车购置费</w:t>
            </w:r>
          </w:p>
        </w:tc>
        <w:tc>
          <w:tcPr>
            <w:tcW w:w="349" w:type="pc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公务用车运行费</w:t>
            </w:r>
          </w:p>
        </w:tc>
        <w:tc>
          <w:tcPr>
            <w:tcW w:w="349" w:type="pct"/>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349" w:type="pct"/>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16" w:type="pct"/>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349" w:type="pc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349" w:type="pc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公务用车购置费</w:t>
            </w:r>
          </w:p>
        </w:tc>
        <w:tc>
          <w:tcPr>
            <w:tcW w:w="349" w:type="pc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公务用车运行费</w:t>
            </w:r>
          </w:p>
        </w:tc>
        <w:tc>
          <w:tcPr>
            <w:tcW w:w="480" w:type="pct"/>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890" w:type="pc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16" w:type="pc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349" w:type="pc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349" w:type="pc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349" w:type="pc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349" w:type="pc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349" w:type="pc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416" w:type="pc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349" w:type="pc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349" w:type="pc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349" w:type="pc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480" w:type="pc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890" w:type="pct"/>
            <w:tcBorders>
              <w:top w:val="nil"/>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1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4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4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4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4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4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1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4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4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4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8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5000" w:type="pct"/>
            <w:gridSpan w:val="12"/>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注：本表反映部门本年度“三公”经费支出预决算情况。其中，预算数为“三公”经费年初预算数；决算数是包括当年一般公共预算财政拨款和以前年度结转资金安排的实际支出。</w:t>
            </w:r>
          </w:p>
        </w:tc>
      </w:tr>
    </w:tbl>
    <w:p>
      <w:pPr>
        <w:rPr>
          <w:rFonts w:hint="eastAsia" w:ascii="仿宋_GB2312" w:hAnsi="仿宋_GB2312" w:eastAsia="仿宋_GB2312" w:cs="仿宋_GB2312"/>
          <w:color w:val="auto"/>
          <w:sz w:val="32"/>
          <w:szCs w:val="32"/>
          <w:highlight w:val="none"/>
        </w:rPr>
        <w:sectPr>
          <w:pgSz w:w="16838" w:h="11906" w:orient="landscape"/>
          <w:pgMar w:top="2098" w:right="1474" w:bottom="1984" w:left="1587" w:header="720" w:footer="720" w:gutter="0"/>
          <w:pgNumType w:fmt="numberInDash"/>
          <w:cols w:space="720" w:num="1"/>
          <w:docGrid w:type="lines" w:linePitch="312" w:charSpace="0"/>
        </w:sectPr>
      </w:pPr>
      <w:r>
        <w:rPr>
          <w:rFonts w:hint="eastAsia" w:ascii="仿宋_GB2312" w:hAnsi="仿宋_GB2312" w:eastAsia="仿宋_GB2312" w:cs="仿宋_GB2312"/>
          <w:color w:val="auto"/>
          <w:sz w:val="32"/>
          <w:szCs w:val="32"/>
          <w:highlight w:val="none"/>
          <w:lang w:val="en-US" w:eastAsia="zh-CN"/>
        </w:rPr>
        <w:t>说明：我部门没有预算安排的三公经费，也没有预算安排的三公支出，故本表无数据</w:t>
      </w:r>
    </w:p>
    <w:tbl>
      <w:tblPr>
        <w:tblStyle w:val="8"/>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716"/>
        <w:gridCol w:w="272"/>
        <w:gridCol w:w="278"/>
        <w:gridCol w:w="1349"/>
        <w:gridCol w:w="1301"/>
        <w:gridCol w:w="1301"/>
        <w:gridCol w:w="1301"/>
        <w:gridCol w:w="1301"/>
        <w:gridCol w:w="1307"/>
        <w:gridCol w:w="20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5000" w:type="pct"/>
            <w:gridSpan w:val="10"/>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政府性基金预算财政拨款收入支出决算表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311" w:type="pct"/>
            <w:tcBorders>
              <w:top w:val="nil"/>
              <w:left w:val="nil"/>
              <w:bottom w:val="nil"/>
              <w:right w:val="nil"/>
            </w:tcBorders>
            <w:shd w:val="clear" w:color="auto" w:fill="auto"/>
            <w:noWrap/>
            <w:vAlign w:val="bottom"/>
          </w:tcPr>
          <w:p>
            <w:pPr>
              <w:rPr>
                <w:rFonts w:hint="eastAsia" w:ascii="Arial" w:hAnsi="Arial" w:cs="Arial"/>
                <w:i w:val="0"/>
                <w:iCs w:val="0"/>
                <w:color w:val="000000"/>
                <w:sz w:val="20"/>
                <w:szCs w:val="20"/>
                <w:u w:val="none"/>
              </w:rPr>
            </w:pPr>
          </w:p>
        </w:tc>
        <w:tc>
          <w:tcPr>
            <w:tcW w:w="96"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96"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476"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459"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459"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459"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459"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459"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718" w:type="pct"/>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公开08表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311" w:type="pct"/>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部门：许昌市建安区地方海事处</w:t>
            </w:r>
          </w:p>
        </w:tc>
        <w:tc>
          <w:tcPr>
            <w:tcW w:w="96"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96"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476"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459"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459"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459"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459"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459"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718" w:type="pct"/>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981"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459" w:type="pct"/>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459" w:type="pct"/>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w:t>
            </w:r>
          </w:p>
        </w:tc>
        <w:tc>
          <w:tcPr>
            <w:tcW w:w="1379" w:type="pct"/>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c>
          <w:tcPr>
            <w:tcW w:w="718" w:type="pct"/>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505" w:type="pct"/>
            <w:gridSpan w:val="3"/>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功能分类科目编码</w:t>
            </w:r>
          </w:p>
        </w:tc>
        <w:tc>
          <w:tcPr>
            <w:tcW w:w="476" w:type="pct"/>
            <w:vMerge w:val="restar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459" w:type="pct"/>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59" w:type="pct"/>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59" w:type="pct"/>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459" w:type="pct"/>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459" w:type="pct"/>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718" w:type="pct"/>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505" w:type="pct"/>
            <w:gridSpan w:val="3"/>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76" w:type="pct"/>
            <w:vMerge w:val="continue"/>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59" w:type="pct"/>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59" w:type="pct"/>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59" w:type="pct"/>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59" w:type="pct"/>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59" w:type="pct"/>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718" w:type="pct"/>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505" w:type="pct"/>
            <w:gridSpan w:val="3"/>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76" w:type="pct"/>
            <w:vMerge w:val="continue"/>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59" w:type="pct"/>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59" w:type="pct"/>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59" w:type="pct"/>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59" w:type="pct"/>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59" w:type="pct"/>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718" w:type="pct"/>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81" w:type="pct"/>
            <w:gridSpan w:val="4"/>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45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5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5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5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45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71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81" w:type="pct"/>
            <w:gridSpan w:val="4"/>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45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45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45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45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45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71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505"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476"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45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5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5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5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5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71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505"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476"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45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5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5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5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5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71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505"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476"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45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5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5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5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5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71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505"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476"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45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5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5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5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5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71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505"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476"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45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5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5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5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5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71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505"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476"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45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5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5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5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5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71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000" w:type="pct"/>
            <w:gridSpan w:val="10"/>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注：本表反映部门本年度政府性基金预算财政拨款收入、支出及结转和结余情况。</w:t>
            </w:r>
          </w:p>
        </w:tc>
      </w:tr>
    </w:tbl>
    <w:p>
      <w:pPr>
        <w:jc w:val="center"/>
        <w:outlineLvl w:val="9"/>
        <w:rPr>
          <w:rFonts w:hint="eastAsia" w:ascii="仿宋_GB2312" w:hAnsi="仿宋_GB2312" w:eastAsia="仿宋_GB2312" w:cs="仿宋_GB2312"/>
          <w:sz w:val="32"/>
          <w:szCs w:val="32"/>
          <w:highlight w:val="none"/>
        </w:rPr>
        <w:sectPr>
          <w:pgSz w:w="16838" w:h="11906" w:orient="landscape"/>
          <w:pgMar w:top="1800" w:right="1440" w:bottom="1800" w:left="1440" w:header="720" w:footer="720" w:gutter="0"/>
          <w:pgNumType w:fmt="numberInDash"/>
          <w:cols w:space="720" w:num="1"/>
          <w:docGrid w:type="lines" w:linePitch="312" w:charSpace="0"/>
        </w:sectPr>
      </w:pPr>
      <w:r>
        <w:rPr>
          <w:rFonts w:hint="eastAsia" w:ascii="仿宋_GB2312" w:hAnsi="仿宋_GB2312" w:eastAsia="仿宋_GB2312" w:cs="仿宋_GB2312"/>
          <w:color w:val="auto"/>
          <w:sz w:val="32"/>
          <w:szCs w:val="32"/>
          <w:highlight w:val="none"/>
          <w:lang w:val="en-US" w:eastAsia="zh-CN"/>
        </w:rPr>
        <w:t>说明：我部门没有政府性基金收入，也没有使用政府性基金安排的支出，故本表无数据</w:t>
      </w:r>
    </w:p>
    <w:p>
      <w:pPr>
        <w:widowControl/>
        <w:jc w:val="left"/>
        <w:rPr>
          <w:rFonts w:ascii="黑体" w:hAnsi="宋体" w:eastAsia="黑体" w:cs="宋体"/>
          <w:kern w:val="0"/>
          <w:sz w:val="28"/>
          <w:szCs w:val="28"/>
          <w:highlight w:val="none"/>
        </w:rPr>
      </w:pPr>
    </w:p>
    <w:p>
      <w:pPr>
        <w:widowControl/>
        <w:jc w:val="left"/>
        <w:rPr>
          <w:rFonts w:ascii="黑体" w:hAnsi="宋体" w:eastAsia="黑体" w:cs="宋体"/>
          <w:kern w:val="0"/>
          <w:sz w:val="28"/>
          <w:szCs w:val="28"/>
          <w:highlight w:val="none"/>
        </w:rPr>
      </w:pPr>
    </w:p>
    <w:p>
      <w:pPr>
        <w:widowControl/>
        <w:jc w:val="left"/>
        <w:rPr>
          <w:rFonts w:ascii="黑体" w:hAnsi="宋体" w:eastAsia="黑体" w:cs="宋体"/>
          <w:kern w:val="0"/>
          <w:sz w:val="28"/>
          <w:szCs w:val="28"/>
          <w:highlight w:val="none"/>
        </w:rPr>
      </w:pPr>
    </w:p>
    <w:p>
      <w:pPr>
        <w:widowControl/>
        <w:jc w:val="left"/>
        <w:rPr>
          <w:rFonts w:ascii="黑体" w:hAnsi="宋体" w:eastAsia="黑体" w:cs="宋体"/>
          <w:kern w:val="0"/>
          <w:sz w:val="28"/>
          <w:szCs w:val="28"/>
          <w:highlight w:val="none"/>
        </w:rPr>
      </w:pPr>
    </w:p>
    <w:p>
      <w:pPr>
        <w:widowControl/>
        <w:jc w:val="left"/>
        <w:rPr>
          <w:rFonts w:ascii="黑体" w:hAnsi="宋体" w:eastAsia="黑体" w:cs="宋体"/>
          <w:kern w:val="0"/>
          <w:sz w:val="28"/>
          <w:szCs w:val="28"/>
          <w:highlight w:val="none"/>
        </w:rPr>
      </w:pPr>
    </w:p>
    <w:p>
      <w:pPr>
        <w:widowControl/>
        <w:jc w:val="left"/>
        <w:rPr>
          <w:rFonts w:ascii="黑体" w:hAnsi="宋体" w:eastAsia="黑体" w:cs="宋体"/>
          <w:kern w:val="0"/>
          <w:sz w:val="28"/>
          <w:szCs w:val="28"/>
          <w:highlight w:val="none"/>
        </w:rPr>
      </w:pPr>
    </w:p>
    <w:p>
      <w:pPr>
        <w:widowControl/>
        <w:jc w:val="left"/>
        <w:rPr>
          <w:rFonts w:ascii="黑体" w:hAnsi="宋体" w:eastAsia="黑体" w:cs="宋体"/>
          <w:kern w:val="0"/>
          <w:sz w:val="28"/>
          <w:szCs w:val="28"/>
          <w:highlight w:val="none"/>
        </w:rPr>
      </w:pPr>
    </w:p>
    <w:p>
      <w:pPr>
        <w:widowControl/>
        <w:jc w:val="left"/>
        <w:rPr>
          <w:rFonts w:hint="eastAsia" w:ascii="黑体" w:hAnsi="宋体" w:eastAsia="黑体" w:cs="宋体"/>
          <w:kern w:val="0"/>
          <w:sz w:val="28"/>
          <w:szCs w:val="28"/>
          <w:highlight w:val="none"/>
        </w:rPr>
      </w:pPr>
    </w:p>
    <w:p>
      <w:pPr>
        <w:jc w:val="center"/>
        <w:outlineLvl w:val="0"/>
        <w:rPr>
          <w:rFonts w:hint="eastAsia" w:ascii="黑体" w:hAnsi="黑体" w:eastAsia="黑体" w:cs="黑体"/>
          <w:sz w:val="48"/>
          <w:szCs w:val="48"/>
          <w:highlight w:val="none"/>
        </w:rPr>
      </w:pPr>
      <w:r>
        <w:rPr>
          <w:rFonts w:hint="eastAsia" w:ascii="黑体" w:hAnsi="黑体" w:eastAsia="黑体" w:cs="黑体"/>
          <w:sz w:val="48"/>
          <w:szCs w:val="48"/>
          <w:highlight w:val="none"/>
        </w:rPr>
        <w:t>第三部分 2021年度部门决算情况说明</w:t>
      </w:r>
    </w:p>
    <w:p>
      <w:pPr>
        <w:widowControl/>
        <w:jc w:val="left"/>
        <w:rPr>
          <w:rFonts w:hint="eastAsia" w:ascii="黑体" w:hAnsi="黑体" w:eastAsia="黑体" w:cs="黑体"/>
          <w:sz w:val="48"/>
          <w:szCs w:val="48"/>
          <w:highlight w:val="none"/>
        </w:rPr>
        <w:sectPr>
          <w:pgSz w:w="11906" w:h="16838"/>
          <w:pgMar w:top="1440" w:right="1800" w:bottom="1440" w:left="1800" w:header="720" w:footer="720" w:gutter="0"/>
          <w:pgNumType w:fmt="numberInDash"/>
          <w:cols w:space="720" w:num="1"/>
          <w:docGrid w:type="lines" w:linePitch="312" w:charSpace="0"/>
        </w:sectPr>
      </w:pPr>
    </w:p>
    <w:p>
      <w:pPr>
        <w:widowControl/>
        <w:spacing w:line="590" w:lineRule="exact"/>
        <w:ind w:firstLine="640" w:firstLineChars="200"/>
        <w:outlineLvl w:val="1"/>
        <w:rPr>
          <w:rFonts w:hint="eastAsia" w:ascii="黑体" w:hAnsi="黑体" w:eastAsia="黑体" w:cs="黑体"/>
          <w:sz w:val="32"/>
          <w:szCs w:val="32"/>
          <w:highlight w:val="none"/>
        </w:rPr>
      </w:pPr>
      <w:r>
        <w:rPr>
          <w:rFonts w:hint="eastAsia" w:ascii="黑体" w:hAnsi="黑体" w:eastAsia="黑体" w:cs="黑体"/>
          <w:sz w:val="32"/>
          <w:szCs w:val="32"/>
          <w:highlight w:val="none"/>
        </w:rPr>
        <w:t>一、收入支出决算总体情况说明</w:t>
      </w:r>
    </w:p>
    <w:p>
      <w:pPr>
        <w:widowControl/>
        <w:spacing w:line="590" w:lineRule="exact"/>
        <w:ind w:firstLine="640" w:firstLineChars="200"/>
        <w:rPr>
          <w:rFonts w:hint="eastAsia" w:ascii="黑体" w:hAnsi="黑体" w:eastAsia="黑体" w:cs="黑体"/>
          <w:sz w:val="32"/>
          <w:szCs w:val="32"/>
          <w:highlight w:val="none"/>
        </w:rPr>
      </w:pPr>
      <w:r>
        <w:rPr>
          <w:rFonts w:ascii="仿宋_GB2312" w:hAnsi="仿宋_GB2312" w:eastAsia="仿宋_GB2312" w:cs="仿宋_GB2312"/>
          <w:sz w:val="32"/>
          <w:szCs w:val="32"/>
          <w:highlight w:val="none"/>
        </w:rPr>
        <w:t>2021</w:t>
      </w:r>
      <w:r>
        <w:rPr>
          <w:rFonts w:hint="eastAsia" w:ascii="仿宋_GB2312" w:hAnsi="仿宋_GB2312" w:eastAsia="仿宋_GB2312" w:cs="仿宋_GB2312"/>
          <w:sz w:val="32"/>
          <w:szCs w:val="32"/>
          <w:highlight w:val="none"/>
        </w:rPr>
        <w:t>年度收、支总计均为</w:t>
      </w:r>
      <w:r>
        <w:rPr>
          <w:rFonts w:hint="eastAsia" w:ascii="仿宋_GB2312" w:hAnsi="仿宋_GB2312" w:eastAsia="仿宋_GB2312" w:cs="仿宋_GB2312"/>
          <w:sz w:val="32"/>
          <w:szCs w:val="32"/>
          <w:highlight w:val="none"/>
          <w:lang w:val="en-US" w:eastAsia="zh-CN"/>
        </w:rPr>
        <w:t>126.52</w:t>
      </w:r>
      <w:r>
        <w:rPr>
          <w:rFonts w:hint="eastAsia" w:ascii="仿宋_GB2312" w:hAnsi="仿宋_GB2312" w:eastAsia="仿宋_GB2312" w:cs="仿宋_GB2312"/>
          <w:sz w:val="32"/>
          <w:szCs w:val="32"/>
          <w:highlight w:val="none"/>
        </w:rPr>
        <w:t>万元。与上年度相比，收、支总计各增加</w:t>
      </w:r>
      <w:r>
        <w:rPr>
          <w:rFonts w:hint="eastAsia" w:ascii="仿宋_GB2312" w:hAnsi="仿宋_GB2312" w:eastAsia="仿宋_GB2312" w:cs="仿宋_GB2312"/>
          <w:sz w:val="32"/>
          <w:szCs w:val="32"/>
          <w:highlight w:val="none"/>
          <w:lang w:val="en-US" w:eastAsia="zh-CN"/>
        </w:rPr>
        <w:t>13.97</w:t>
      </w:r>
      <w:r>
        <w:rPr>
          <w:rFonts w:hint="eastAsia" w:ascii="仿宋_GB2312" w:hAnsi="仿宋_GB2312" w:eastAsia="仿宋_GB2312" w:cs="仿宋_GB2312"/>
          <w:sz w:val="32"/>
          <w:szCs w:val="32"/>
          <w:highlight w:val="none"/>
        </w:rPr>
        <w:t>万元，增长</w:t>
      </w:r>
      <w:r>
        <w:rPr>
          <w:rFonts w:hint="eastAsia" w:ascii="仿宋_GB2312" w:hAnsi="仿宋_GB2312" w:eastAsia="仿宋_GB2312" w:cs="仿宋_GB2312"/>
          <w:sz w:val="32"/>
          <w:szCs w:val="32"/>
          <w:highlight w:val="none"/>
          <w:lang w:val="en-US" w:eastAsia="zh-CN"/>
        </w:rPr>
        <w:t>12.41</w:t>
      </w:r>
      <w:r>
        <w:rPr>
          <w:rFonts w:hint="eastAsia" w:ascii="仿宋_GB2312" w:hAnsi="仿宋_GB2312" w:eastAsia="仿宋_GB2312" w:cs="仿宋_GB2312"/>
          <w:sz w:val="32"/>
          <w:szCs w:val="32"/>
          <w:highlight w:val="none"/>
        </w:rPr>
        <w:t>%。主要原因是</w:t>
      </w:r>
      <w:r>
        <w:rPr>
          <w:rFonts w:hint="eastAsia" w:ascii="仿宋_GB2312" w:hAnsi="仿宋_GB2312" w:eastAsia="仿宋_GB2312" w:cs="仿宋_GB2312"/>
          <w:sz w:val="32"/>
          <w:szCs w:val="32"/>
          <w:highlight w:val="none"/>
          <w:lang w:eastAsia="zh-CN"/>
        </w:rPr>
        <w:t>本年度人员工资标准上调</w:t>
      </w:r>
      <w:r>
        <w:rPr>
          <w:rFonts w:hint="eastAsia" w:ascii="仿宋_GB2312" w:hAnsi="仿宋_GB2312" w:eastAsia="仿宋_GB2312" w:cs="仿宋_GB2312"/>
          <w:sz w:val="32"/>
          <w:szCs w:val="32"/>
          <w:highlight w:val="none"/>
        </w:rPr>
        <w:t>。</w:t>
      </w:r>
    </w:p>
    <w:p>
      <w:pPr>
        <w:widowControl/>
        <w:spacing w:line="590" w:lineRule="exact"/>
        <w:ind w:firstLine="640" w:firstLineChars="200"/>
        <w:outlineLvl w:val="1"/>
        <w:rPr>
          <w:rFonts w:hint="eastAsia" w:ascii="黑体" w:hAnsi="黑体" w:eastAsia="黑体" w:cs="黑体"/>
          <w:sz w:val="32"/>
          <w:szCs w:val="32"/>
          <w:highlight w:val="none"/>
        </w:rPr>
      </w:pPr>
      <w:r>
        <w:rPr>
          <w:rFonts w:hint="eastAsia" w:ascii="黑体" w:hAnsi="黑体" w:eastAsia="黑体" w:cs="黑体"/>
          <w:sz w:val="32"/>
          <w:szCs w:val="32"/>
          <w:highlight w:val="none"/>
        </w:rPr>
        <w:t>二、收入决算情况说明</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黑体" w:hAnsi="黑体" w:eastAsia="黑体" w:cs="黑体"/>
          <w:sz w:val="32"/>
          <w:szCs w:val="32"/>
          <w:highlight w:val="none"/>
        </w:rPr>
      </w:pPr>
      <w:r>
        <w:rPr>
          <w:rFonts w:ascii="仿宋_GB2312" w:hAnsi="仿宋_GB2312" w:eastAsia="仿宋_GB2312" w:cs="仿宋_GB2312"/>
          <w:sz w:val="32"/>
          <w:szCs w:val="32"/>
          <w:highlight w:val="none"/>
        </w:rPr>
        <w:t>2021</w:t>
      </w:r>
      <w:r>
        <w:rPr>
          <w:rFonts w:hint="eastAsia" w:ascii="仿宋_GB2312" w:hAnsi="仿宋_GB2312" w:eastAsia="仿宋_GB2312" w:cs="仿宋_GB2312"/>
          <w:sz w:val="32"/>
          <w:szCs w:val="32"/>
          <w:highlight w:val="none"/>
        </w:rPr>
        <w:t>年度收入合计</w:t>
      </w:r>
      <w:r>
        <w:rPr>
          <w:rFonts w:hint="eastAsia" w:ascii="仿宋_GB2312" w:hAnsi="仿宋_GB2312" w:eastAsia="仿宋_GB2312" w:cs="仿宋_GB2312"/>
          <w:sz w:val="32"/>
          <w:szCs w:val="32"/>
          <w:highlight w:val="none"/>
          <w:lang w:val="en-US" w:eastAsia="zh-CN"/>
        </w:rPr>
        <w:t>126.52</w:t>
      </w:r>
      <w:r>
        <w:rPr>
          <w:rFonts w:hint="eastAsia" w:ascii="仿宋_GB2312" w:hAnsi="仿宋_GB2312" w:eastAsia="仿宋_GB2312" w:cs="仿宋_GB2312"/>
          <w:sz w:val="32"/>
          <w:szCs w:val="32"/>
          <w:highlight w:val="none"/>
        </w:rPr>
        <w:t>万元，其中：财政拨款收入</w:t>
      </w:r>
      <w:r>
        <w:rPr>
          <w:rFonts w:hint="eastAsia" w:ascii="仿宋_GB2312" w:hAnsi="仿宋_GB2312" w:eastAsia="仿宋_GB2312" w:cs="仿宋_GB2312"/>
          <w:sz w:val="32"/>
          <w:szCs w:val="32"/>
          <w:highlight w:val="none"/>
          <w:lang w:val="en-US" w:eastAsia="zh-CN"/>
        </w:rPr>
        <w:t>126.52</w:t>
      </w:r>
      <w:r>
        <w:rPr>
          <w:rFonts w:hint="eastAsia" w:ascii="仿宋_GB2312" w:hAnsi="仿宋_GB2312" w:eastAsia="仿宋_GB2312" w:cs="仿宋_GB2312"/>
          <w:sz w:val="32"/>
          <w:szCs w:val="32"/>
          <w:highlight w:val="none"/>
        </w:rPr>
        <w:t>万元，占</w:t>
      </w:r>
      <w:r>
        <w:rPr>
          <w:rFonts w:hint="eastAsia" w:ascii="仿宋_GB2312" w:hAnsi="仿宋_GB2312" w:eastAsia="仿宋_GB2312" w:cs="仿宋_GB2312"/>
          <w:sz w:val="32"/>
          <w:szCs w:val="32"/>
          <w:highlight w:val="none"/>
          <w:lang w:val="en-US" w:eastAsia="zh-CN"/>
        </w:rPr>
        <w:t>100.00</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color w:val="auto"/>
          <w:sz w:val="32"/>
          <w:szCs w:val="32"/>
          <w:highlight w:val="none"/>
          <w:lang w:val="en-US" w:eastAsia="zh-CN"/>
        </w:rPr>
        <w:t>上级补助收0.00万元，占0.00%；事业收入0.00万元，占0.00%；经营收入0.00万元，占0.00%；附属单位上缴收入0.00万元，占0.00%；其他收入0.00万元，占0.00%。</w:t>
      </w:r>
    </w:p>
    <w:p>
      <w:pPr>
        <w:widowControl/>
        <w:spacing w:line="590" w:lineRule="exact"/>
        <w:ind w:firstLine="640" w:firstLineChars="200"/>
        <w:outlineLvl w:val="1"/>
        <w:rPr>
          <w:rFonts w:hint="eastAsia" w:ascii="黑体" w:hAnsi="黑体" w:eastAsia="黑体" w:cs="黑体"/>
          <w:sz w:val="32"/>
          <w:szCs w:val="32"/>
          <w:highlight w:val="none"/>
        </w:rPr>
      </w:pPr>
      <w:r>
        <w:rPr>
          <w:rFonts w:hint="eastAsia" w:ascii="黑体" w:hAnsi="黑体" w:eastAsia="黑体" w:cs="黑体"/>
          <w:sz w:val="32"/>
          <w:szCs w:val="32"/>
          <w:highlight w:val="none"/>
        </w:rPr>
        <w:t>三、支出决算情况说明</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rPr>
      </w:pPr>
      <w:r>
        <w:rPr>
          <w:rFonts w:ascii="仿宋_GB2312" w:hAnsi="仿宋_GB2312" w:eastAsia="仿宋_GB2312" w:cs="仿宋_GB2312"/>
          <w:sz w:val="32"/>
          <w:szCs w:val="32"/>
          <w:highlight w:val="none"/>
        </w:rPr>
        <w:t>2021</w:t>
      </w:r>
      <w:r>
        <w:rPr>
          <w:rFonts w:hint="eastAsia" w:ascii="仿宋_GB2312" w:hAnsi="仿宋_GB2312" w:eastAsia="仿宋_GB2312" w:cs="仿宋_GB2312"/>
          <w:sz w:val="32"/>
          <w:szCs w:val="32"/>
          <w:highlight w:val="none"/>
        </w:rPr>
        <w:t>年度支出合计</w:t>
      </w:r>
      <w:r>
        <w:rPr>
          <w:rFonts w:hint="eastAsia" w:ascii="仿宋_GB2312" w:hAnsi="仿宋_GB2312" w:eastAsia="仿宋_GB2312" w:cs="仿宋_GB2312"/>
          <w:sz w:val="32"/>
          <w:szCs w:val="32"/>
          <w:highlight w:val="none"/>
          <w:lang w:val="en-US" w:eastAsia="zh-CN"/>
        </w:rPr>
        <w:t>126.52</w:t>
      </w:r>
      <w:r>
        <w:rPr>
          <w:rFonts w:hint="eastAsia" w:ascii="仿宋_GB2312" w:hAnsi="仿宋_GB2312" w:eastAsia="仿宋_GB2312" w:cs="仿宋_GB2312"/>
          <w:sz w:val="32"/>
          <w:szCs w:val="32"/>
          <w:highlight w:val="none"/>
        </w:rPr>
        <w:t>万元，其中：基本支出</w:t>
      </w:r>
      <w:r>
        <w:rPr>
          <w:rFonts w:hint="eastAsia" w:ascii="仿宋_GB2312" w:hAnsi="仿宋_GB2312" w:eastAsia="仿宋_GB2312" w:cs="仿宋_GB2312"/>
          <w:sz w:val="32"/>
          <w:szCs w:val="32"/>
          <w:highlight w:val="none"/>
          <w:lang w:val="en-US" w:eastAsia="zh-CN"/>
        </w:rPr>
        <w:t>126.52</w:t>
      </w:r>
      <w:r>
        <w:rPr>
          <w:rFonts w:hint="eastAsia" w:ascii="仿宋_GB2312" w:hAnsi="仿宋_GB2312" w:eastAsia="仿宋_GB2312" w:cs="仿宋_GB2312"/>
          <w:sz w:val="32"/>
          <w:szCs w:val="32"/>
          <w:highlight w:val="none"/>
        </w:rPr>
        <w:t>万元，占</w:t>
      </w:r>
      <w:r>
        <w:rPr>
          <w:rFonts w:hint="eastAsia" w:ascii="仿宋_GB2312" w:hAnsi="仿宋_GB2312" w:eastAsia="仿宋_GB2312" w:cs="仿宋_GB2312"/>
          <w:sz w:val="32"/>
          <w:szCs w:val="32"/>
          <w:highlight w:val="none"/>
          <w:lang w:val="en-US" w:eastAsia="zh-CN"/>
        </w:rPr>
        <w:t>100.00</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color w:val="auto"/>
          <w:sz w:val="32"/>
          <w:szCs w:val="32"/>
          <w:highlight w:val="none"/>
          <w:lang w:val="en-US" w:eastAsia="zh-CN"/>
        </w:rPr>
        <w:t>项目支出0.00万元，占0.00%；上缴上级支出0.00万元，占0.00%；经营支出0.00万元，占0.00%；对附属单位补助支出0.00万元，占0.00%。</w:t>
      </w:r>
    </w:p>
    <w:p>
      <w:pPr>
        <w:widowControl/>
        <w:spacing w:line="590" w:lineRule="exact"/>
        <w:ind w:firstLine="640" w:firstLineChars="200"/>
        <w:outlineLvl w:val="1"/>
        <w:rPr>
          <w:rFonts w:hint="eastAsia" w:ascii="黑体" w:hAnsi="黑体" w:eastAsia="黑体" w:cs="黑体"/>
          <w:sz w:val="32"/>
          <w:szCs w:val="32"/>
          <w:highlight w:val="none"/>
        </w:rPr>
      </w:pPr>
      <w:r>
        <w:rPr>
          <w:rFonts w:hint="eastAsia" w:ascii="黑体" w:hAnsi="黑体" w:eastAsia="黑体" w:cs="黑体"/>
          <w:sz w:val="32"/>
          <w:szCs w:val="32"/>
          <w:highlight w:val="none"/>
        </w:rPr>
        <w:t>四、财政拨款收入支出决算总体情况说明</w:t>
      </w:r>
    </w:p>
    <w:p>
      <w:pPr>
        <w:widowControl/>
        <w:spacing w:line="590" w:lineRule="exact"/>
        <w:ind w:firstLine="640" w:firstLineChars="200"/>
        <w:rPr>
          <w:rFonts w:hint="eastAsia" w:ascii="仿宋_GB2312" w:hAnsi="仿宋_GB2312" w:eastAsia="仿宋_GB2312" w:cs="仿宋_GB2312"/>
          <w:sz w:val="32"/>
          <w:szCs w:val="32"/>
          <w:highlight w:val="none"/>
        </w:rPr>
      </w:pPr>
      <w:r>
        <w:rPr>
          <w:rFonts w:ascii="仿宋_GB2312" w:hAnsi="仿宋_GB2312" w:eastAsia="仿宋_GB2312" w:cs="仿宋_GB2312"/>
          <w:sz w:val="32"/>
          <w:szCs w:val="32"/>
          <w:highlight w:val="none"/>
        </w:rPr>
        <w:t>2021</w:t>
      </w:r>
      <w:r>
        <w:rPr>
          <w:rFonts w:hint="eastAsia" w:ascii="仿宋_GB2312" w:hAnsi="仿宋_GB2312" w:eastAsia="仿宋_GB2312" w:cs="仿宋_GB2312"/>
          <w:sz w:val="32"/>
          <w:szCs w:val="32"/>
          <w:highlight w:val="none"/>
        </w:rPr>
        <w:t>年度财政拨款收、支总计均为</w:t>
      </w:r>
      <w:r>
        <w:rPr>
          <w:rFonts w:hint="eastAsia" w:ascii="仿宋_GB2312" w:hAnsi="仿宋_GB2312" w:eastAsia="仿宋_GB2312" w:cs="仿宋_GB2312"/>
          <w:sz w:val="32"/>
          <w:szCs w:val="32"/>
          <w:highlight w:val="none"/>
          <w:lang w:val="en-US" w:eastAsia="zh-CN"/>
        </w:rPr>
        <w:t>126.52</w:t>
      </w:r>
      <w:r>
        <w:rPr>
          <w:rFonts w:hint="eastAsia" w:ascii="仿宋_GB2312" w:hAnsi="仿宋_GB2312" w:eastAsia="仿宋_GB2312" w:cs="仿宋_GB2312"/>
          <w:sz w:val="32"/>
          <w:szCs w:val="32"/>
          <w:highlight w:val="none"/>
        </w:rPr>
        <w:t>万元。与上年度相比，财政拨款收、支总计各增加</w:t>
      </w:r>
      <w:r>
        <w:rPr>
          <w:rFonts w:hint="eastAsia" w:ascii="仿宋_GB2312" w:hAnsi="仿宋_GB2312" w:eastAsia="仿宋_GB2312" w:cs="仿宋_GB2312"/>
          <w:sz w:val="32"/>
          <w:szCs w:val="32"/>
          <w:highlight w:val="none"/>
          <w:lang w:val="en-US" w:eastAsia="zh-CN"/>
        </w:rPr>
        <w:t>13.97</w:t>
      </w:r>
      <w:r>
        <w:rPr>
          <w:rFonts w:hint="eastAsia" w:ascii="仿宋_GB2312" w:hAnsi="仿宋_GB2312" w:eastAsia="仿宋_GB2312" w:cs="仿宋_GB2312"/>
          <w:sz w:val="32"/>
          <w:szCs w:val="32"/>
          <w:highlight w:val="none"/>
        </w:rPr>
        <w:t>万元，增长</w:t>
      </w:r>
      <w:r>
        <w:rPr>
          <w:rFonts w:hint="eastAsia" w:ascii="仿宋_GB2312" w:hAnsi="仿宋_GB2312" w:eastAsia="仿宋_GB2312" w:cs="仿宋_GB2312"/>
          <w:sz w:val="32"/>
          <w:szCs w:val="32"/>
          <w:highlight w:val="none"/>
          <w:lang w:val="en-US" w:eastAsia="zh-CN"/>
        </w:rPr>
        <w:t>12.41</w:t>
      </w:r>
      <w:r>
        <w:rPr>
          <w:rFonts w:hint="eastAsia" w:ascii="仿宋_GB2312" w:hAnsi="仿宋_GB2312" w:eastAsia="仿宋_GB2312" w:cs="仿宋_GB2312"/>
          <w:sz w:val="32"/>
          <w:szCs w:val="32"/>
          <w:highlight w:val="none"/>
        </w:rPr>
        <w:t>%。主要原因是</w:t>
      </w:r>
      <w:r>
        <w:rPr>
          <w:rFonts w:hint="eastAsia" w:ascii="仿宋_GB2312" w:hAnsi="仿宋_GB2312" w:eastAsia="仿宋_GB2312" w:cs="仿宋_GB2312"/>
          <w:sz w:val="32"/>
          <w:szCs w:val="32"/>
          <w:highlight w:val="none"/>
          <w:lang w:eastAsia="zh-CN"/>
        </w:rPr>
        <w:t>本年度人员工资标准上调</w:t>
      </w:r>
      <w:r>
        <w:rPr>
          <w:rFonts w:hint="eastAsia" w:ascii="仿宋_GB2312" w:hAnsi="仿宋_GB2312" w:eastAsia="仿宋_GB2312" w:cs="仿宋_GB2312"/>
          <w:sz w:val="32"/>
          <w:szCs w:val="32"/>
          <w:highlight w:val="none"/>
        </w:rPr>
        <w:t>。</w:t>
      </w:r>
    </w:p>
    <w:p>
      <w:pPr>
        <w:widowControl/>
        <w:spacing w:line="590" w:lineRule="exact"/>
        <w:ind w:firstLine="640" w:firstLineChars="200"/>
        <w:outlineLvl w:val="1"/>
        <w:rPr>
          <w:rFonts w:hint="eastAsia" w:ascii="黑体" w:hAnsi="黑体" w:eastAsia="黑体" w:cs="黑体"/>
          <w:sz w:val="32"/>
          <w:szCs w:val="32"/>
          <w:highlight w:val="none"/>
        </w:rPr>
      </w:pPr>
      <w:r>
        <w:rPr>
          <w:rFonts w:hint="eastAsia" w:ascii="黑体" w:hAnsi="黑体" w:eastAsia="黑体" w:cs="黑体"/>
          <w:sz w:val="32"/>
          <w:szCs w:val="32"/>
          <w:highlight w:val="none"/>
        </w:rPr>
        <w:t>五、一般公共预算财政拨款支出决算情况说明</w:t>
      </w:r>
    </w:p>
    <w:p>
      <w:pPr>
        <w:widowControl/>
        <w:spacing w:line="590" w:lineRule="exact"/>
        <w:ind w:firstLine="643" w:firstLineChars="200"/>
        <w:rPr>
          <w:rFonts w:hint="eastAsia" w:ascii="楷体_GB2312" w:hAnsi="楷体_GB2312" w:eastAsia="楷体_GB2312" w:cs="楷体_GB2312"/>
          <w:b/>
          <w:bCs/>
          <w:sz w:val="32"/>
          <w:szCs w:val="32"/>
          <w:highlight w:val="none"/>
        </w:rPr>
      </w:pPr>
      <w:r>
        <w:rPr>
          <w:rFonts w:hint="eastAsia" w:ascii="楷体_GB2312" w:hAnsi="楷体_GB2312" w:eastAsia="楷体_GB2312" w:cs="楷体_GB2312"/>
          <w:b/>
          <w:bCs/>
          <w:sz w:val="32"/>
          <w:szCs w:val="32"/>
          <w:highlight w:val="none"/>
        </w:rPr>
        <w:t>（一）总体情况。</w:t>
      </w:r>
    </w:p>
    <w:p>
      <w:pPr>
        <w:widowControl/>
        <w:spacing w:line="590" w:lineRule="exact"/>
        <w:ind w:firstLine="640" w:firstLineChars="200"/>
        <w:rPr>
          <w:rFonts w:hint="eastAsia" w:ascii="仿宋_GB2312" w:hAnsi="仿宋_GB2312" w:eastAsia="仿宋_GB2312" w:cs="仿宋_GB2312"/>
          <w:sz w:val="32"/>
          <w:szCs w:val="32"/>
          <w:highlight w:val="none"/>
        </w:rPr>
      </w:pPr>
      <w:r>
        <w:rPr>
          <w:rFonts w:ascii="仿宋_GB2312" w:hAnsi="仿宋_GB2312" w:eastAsia="仿宋_GB2312" w:cs="仿宋_GB2312"/>
          <w:sz w:val="32"/>
          <w:szCs w:val="32"/>
          <w:highlight w:val="none"/>
        </w:rPr>
        <w:t>2021</w:t>
      </w:r>
      <w:r>
        <w:rPr>
          <w:rFonts w:hint="eastAsia" w:ascii="仿宋_GB2312" w:hAnsi="仿宋_GB2312" w:eastAsia="仿宋_GB2312" w:cs="仿宋_GB2312"/>
          <w:sz w:val="32"/>
          <w:szCs w:val="32"/>
          <w:highlight w:val="none"/>
        </w:rPr>
        <w:t>年度一般公共预算财政拨款支出</w:t>
      </w:r>
      <w:r>
        <w:rPr>
          <w:rFonts w:hint="eastAsia" w:ascii="仿宋_GB2312" w:hAnsi="仿宋_GB2312" w:eastAsia="仿宋_GB2312" w:cs="仿宋_GB2312"/>
          <w:sz w:val="32"/>
          <w:szCs w:val="32"/>
          <w:highlight w:val="none"/>
          <w:lang w:val="en-US" w:eastAsia="zh-CN"/>
        </w:rPr>
        <w:t>126.52</w:t>
      </w:r>
      <w:r>
        <w:rPr>
          <w:rFonts w:hint="eastAsia" w:ascii="仿宋_GB2312" w:hAnsi="仿宋_GB2312" w:eastAsia="仿宋_GB2312" w:cs="仿宋_GB2312"/>
          <w:sz w:val="32"/>
          <w:szCs w:val="32"/>
          <w:highlight w:val="none"/>
        </w:rPr>
        <w:t>万元，占支出合计的</w:t>
      </w:r>
      <w:r>
        <w:rPr>
          <w:rFonts w:hint="eastAsia" w:ascii="仿宋_GB2312" w:hAnsi="仿宋_GB2312" w:eastAsia="仿宋_GB2312" w:cs="仿宋_GB2312"/>
          <w:sz w:val="32"/>
          <w:szCs w:val="32"/>
          <w:highlight w:val="none"/>
          <w:lang w:val="en-US" w:eastAsia="zh-CN"/>
        </w:rPr>
        <w:t>100.00</w:t>
      </w:r>
      <w:r>
        <w:rPr>
          <w:rFonts w:hint="eastAsia" w:ascii="仿宋_GB2312" w:hAnsi="仿宋_GB2312" w:eastAsia="仿宋_GB2312" w:cs="仿宋_GB2312"/>
          <w:sz w:val="32"/>
          <w:szCs w:val="32"/>
          <w:highlight w:val="none"/>
        </w:rPr>
        <w:t>%。与上年度相比，一般公共预算财政拨款支出增加</w:t>
      </w:r>
      <w:r>
        <w:rPr>
          <w:rFonts w:hint="eastAsia" w:ascii="仿宋_GB2312" w:hAnsi="仿宋_GB2312" w:eastAsia="仿宋_GB2312" w:cs="仿宋_GB2312"/>
          <w:sz w:val="32"/>
          <w:szCs w:val="32"/>
          <w:highlight w:val="none"/>
          <w:lang w:val="en-US" w:eastAsia="zh-CN"/>
        </w:rPr>
        <w:t>14.05</w:t>
      </w:r>
      <w:r>
        <w:rPr>
          <w:rFonts w:hint="eastAsia" w:ascii="仿宋_GB2312" w:hAnsi="仿宋_GB2312" w:eastAsia="仿宋_GB2312" w:cs="仿宋_GB2312"/>
          <w:sz w:val="32"/>
          <w:szCs w:val="32"/>
          <w:highlight w:val="none"/>
        </w:rPr>
        <w:t>万元，增长</w:t>
      </w:r>
      <w:r>
        <w:rPr>
          <w:rFonts w:hint="eastAsia" w:ascii="仿宋_GB2312" w:hAnsi="仿宋_GB2312" w:eastAsia="仿宋_GB2312" w:cs="仿宋_GB2312"/>
          <w:sz w:val="32"/>
          <w:szCs w:val="32"/>
          <w:highlight w:val="none"/>
          <w:lang w:val="en-US" w:eastAsia="zh-CN"/>
        </w:rPr>
        <w:t>12.50</w:t>
      </w:r>
      <w:r>
        <w:rPr>
          <w:rFonts w:hint="eastAsia" w:ascii="仿宋_GB2312" w:hAnsi="仿宋_GB2312" w:eastAsia="仿宋_GB2312" w:cs="仿宋_GB2312"/>
          <w:sz w:val="32"/>
          <w:szCs w:val="32"/>
          <w:highlight w:val="none"/>
        </w:rPr>
        <w:t>%。主要原因是</w:t>
      </w:r>
      <w:r>
        <w:rPr>
          <w:rFonts w:hint="eastAsia" w:ascii="仿宋_GB2312" w:hAnsi="仿宋_GB2312" w:eastAsia="仿宋_GB2312" w:cs="仿宋_GB2312"/>
          <w:sz w:val="32"/>
          <w:szCs w:val="32"/>
          <w:highlight w:val="none"/>
          <w:lang w:eastAsia="zh-CN"/>
        </w:rPr>
        <w:t>本年度人员工资标准上调</w:t>
      </w:r>
      <w:r>
        <w:rPr>
          <w:rFonts w:hint="eastAsia" w:ascii="仿宋_GB2312" w:hAnsi="仿宋_GB2312" w:eastAsia="仿宋_GB2312" w:cs="仿宋_GB2312"/>
          <w:sz w:val="32"/>
          <w:szCs w:val="32"/>
          <w:highlight w:val="none"/>
        </w:rPr>
        <w:t>。</w:t>
      </w:r>
    </w:p>
    <w:p>
      <w:pPr>
        <w:widowControl/>
        <w:spacing w:line="590" w:lineRule="exact"/>
        <w:ind w:firstLine="643" w:firstLineChars="200"/>
        <w:rPr>
          <w:rFonts w:hint="eastAsia" w:ascii="楷体_GB2312" w:hAnsi="楷体_GB2312" w:eastAsia="楷体_GB2312" w:cs="楷体_GB2312"/>
          <w:b/>
          <w:bCs/>
          <w:sz w:val="32"/>
          <w:szCs w:val="32"/>
          <w:highlight w:val="none"/>
        </w:rPr>
      </w:pPr>
      <w:r>
        <w:rPr>
          <w:rFonts w:hint="eastAsia" w:ascii="楷体_GB2312" w:hAnsi="楷体_GB2312" w:eastAsia="楷体_GB2312" w:cs="楷体_GB2312"/>
          <w:b/>
          <w:bCs/>
          <w:sz w:val="32"/>
          <w:szCs w:val="32"/>
          <w:highlight w:val="none"/>
        </w:rPr>
        <w:t>（二）结构情况。</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rPr>
      </w:pPr>
      <w:r>
        <w:rPr>
          <w:rFonts w:ascii="仿宋_GB2312" w:hAnsi="仿宋_GB2312" w:eastAsia="仿宋_GB2312" w:cs="仿宋_GB2312"/>
          <w:sz w:val="32"/>
          <w:szCs w:val="32"/>
          <w:highlight w:val="none"/>
        </w:rPr>
        <w:t>2021</w:t>
      </w:r>
      <w:r>
        <w:rPr>
          <w:rFonts w:hint="eastAsia" w:ascii="仿宋_GB2312" w:hAnsi="仿宋_GB2312" w:eastAsia="仿宋_GB2312" w:cs="仿宋_GB2312"/>
          <w:sz w:val="32"/>
          <w:szCs w:val="32"/>
          <w:highlight w:val="none"/>
        </w:rPr>
        <w:t>年度一般公共预算财政拨款支出</w:t>
      </w:r>
      <w:r>
        <w:rPr>
          <w:rFonts w:hint="eastAsia" w:ascii="仿宋_GB2312" w:hAnsi="仿宋_GB2312" w:eastAsia="仿宋_GB2312" w:cs="仿宋_GB2312"/>
          <w:sz w:val="32"/>
          <w:szCs w:val="32"/>
          <w:highlight w:val="none"/>
          <w:lang w:val="en-US" w:eastAsia="zh-CN"/>
        </w:rPr>
        <w:t>126.52</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color w:val="auto"/>
          <w:sz w:val="32"/>
          <w:szCs w:val="32"/>
          <w:highlight w:val="none"/>
          <w:lang w:val="en-US" w:eastAsia="zh-CN"/>
        </w:rPr>
        <w:t>主要用于以下方面：交通运输（类）支出</w:t>
      </w:r>
      <w:r>
        <w:rPr>
          <w:rFonts w:hint="eastAsia" w:ascii="仿宋_GB2312" w:hAnsi="仿宋_GB2312" w:eastAsia="仿宋_GB2312" w:cs="仿宋_GB2312"/>
          <w:sz w:val="32"/>
          <w:szCs w:val="32"/>
          <w:highlight w:val="none"/>
          <w:lang w:val="en-US" w:eastAsia="zh-CN"/>
        </w:rPr>
        <w:t>126.52</w:t>
      </w:r>
      <w:r>
        <w:rPr>
          <w:rFonts w:hint="eastAsia" w:ascii="仿宋_GB2312" w:hAnsi="仿宋_GB2312" w:eastAsia="仿宋_GB2312" w:cs="仿宋_GB2312"/>
          <w:color w:val="auto"/>
          <w:sz w:val="32"/>
          <w:szCs w:val="32"/>
          <w:highlight w:val="none"/>
          <w:lang w:val="en-US" w:eastAsia="zh-CN"/>
        </w:rPr>
        <w:t>万元，占100.00%。</w:t>
      </w:r>
    </w:p>
    <w:p>
      <w:pPr>
        <w:widowControl/>
        <w:spacing w:line="590" w:lineRule="exact"/>
        <w:ind w:firstLine="643" w:firstLineChars="200"/>
        <w:rPr>
          <w:rFonts w:hint="eastAsia" w:ascii="楷体_GB2312" w:hAnsi="楷体_GB2312" w:eastAsia="楷体_GB2312" w:cs="楷体_GB2312"/>
          <w:b/>
          <w:bCs/>
          <w:sz w:val="32"/>
          <w:szCs w:val="32"/>
          <w:highlight w:val="none"/>
        </w:rPr>
      </w:pPr>
      <w:r>
        <w:rPr>
          <w:rFonts w:hint="eastAsia" w:ascii="楷体_GB2312" w:hAnsi="楷体_GB2312" w:eastAsia="楷体_GB2312" w:cs="楷体_GB2312"/>
          <w:b/>
          <w:bCs/>
          <w:sz w:val="32"/>
          <w:szCs w:val="32"/>
          <w:highlight w:val="none"/>
        </w:rPr>
        <w:t>（三）具体情况。</w:t>
      </w:r>
    </w:p>
    <w:p>
      <w:pPr>
        <w:widowControl/>
        <w:spacing w:line="590" w:lineRule="exact"/>
        <w:ind w:firstLine="640" w:firstLineChars="200"/>
        <w:rPr>
          <w:rFonts w:hint="eastAsia" w:ascii="仿宋_GB2312" w:hAnsi="仿宋_GB2312" w:eastAsia="仿宋_GB2312" w:cs="仿宋_GB2312"/>
          <w:sz w:val="32"/>
          <w:szCs w:val="32"/>
          <w:highlight w:val="none"/>
        </w:rPr>
      </w:pPr>
      <w:r>
        <w:rPr>
          <w:rFonts w:ascii="仿宋_GB2312" w:hAnsi="仿宋_GB2312" w:eastAsia="仿宋_GB2312" w:cs="仿宋_GB2312"/>
          <w:sz w:val="32"/>
          <w:szCs w:val="32"/>
          <w:highlight w:val="none"/>
        </w:rPr>
        <w:t>2021</w:t>
      </w:r>
      <w:r>
        <w:rPr>
          <w:rFonts w:hint="eastAsia" w:ascii="仿宋_GB2312" w:hAnsi="仿宋_GB2312" w:eastAsia="仿宋_GB2312" w:cs="仿宋_GB2312"/>
          <w:sz w:val="32"/>
          <w:szCs w:val="32"/>
          <w:highlight w:val="none"/>
        </w:rPr>
        <w:t>年度一般公共预算财政拨款支出</w:t>
      </w:r>
      <w:r>
        <w:rPr>
          <w:rFonts w:hint="eastAsia" w:ascii="仿宋_GB2312" w:hAnsi="仿宋_GB2312" w:eastAsia="仿宋_GB2312" w:cs="仿宋_GB2312"/>
          <w:sz w:val="32"/>
          <w:szCs w:val="32"/>
          <w:highlight w:val="none"/>
          <w:lang w:eastAsia="zh-CN"/>
        </w:rPr>
        <w:t>年初</w:t>
      </w:r>
      <w:r>
        <w:rPr>
          <w:rFonts w:hint="eastAsia" w:ascii="仿宋_GB2312" w:hAnsi="仿宋_GB2312" w:eastAsia="仿宋_GB2312" w:cs="仿宋_GB2312"/>
          <w:sz w:val="32"/>
          <w:szCs w:val="32"/>
          <w:highlight w:val="none"/>
        </w:rPr>
        <w:t>预算为</w:t>
      </w:r>
      <w:r>
        <w:rPr>
          <w:rFonts w:hint="eastAsia" w:ascii="仿宋_GB2312" w:hAnsi="仿宋_GB2312" w:eastAsia="仿宋_GB2312" w:cs="仿宋_GB2312"/>
          <w:sz w:val="32"/>
          <w:szCs w:val="32"/>
          <w:highlight w:val="none"/>
          <w:lang w:val="en-US" w:eastAsia="zh-CN"/>
        </w:rPr>
        <w:t>119.00</w:t>
      </w:r>
      <w:r>
        <w:rPr>
          <w:rFonts w:hint="eastAsia" w:ascii="仿宋_GB2312" w:hAnsi="仿宋_GB2312" w:eastAsia="仿宋_GB2312" w:cs="仿宋_GB2312"/>
          <w:sz w:val="32"/>
          <w:szCs w:val="32"/>
          <w:highlight w:val="none"/>
        </w:rPr>
        <w:t>万元，支出决算为</w:t>
      </w:r>
      <w:r>
        <w:rPr>
          <w:rFonts w:hint="eastAsia" w:ascii="仿宋_GB2312" w:hAnsi="仿宋_GB2312" w:eastAsia="仿宋_GB2312" w:cs="仿宋_GB2312"/>
          <w:sz w:val="32"/>
          <w:szCs w:val="32"/>
          <w:highlight w:val="none"/>
          <w:lang w:val="en-US" w:eastAsia="zh-CN"/>
        </w:rPr>
        <w:t>126.52</w:t>
      </w:r>
      <w:r>
        <w:rPr>
          <w:rFonts w:hint="eastAsia" w:ascii="仿宋_GB2312" w:hAnsi="仿宋_GB2312" w:eastAsia="仿宋_GB2312" w:cs="仿宋_GB2312"/>
          <w:sz w:val="32"/>
          <w:szCs w:val="32"/>
          <w:highlight w:val="none"/>
        </w:rPr>
        <w:t>万元，完成</w:t>
      </w:r>
      <w:r>
        <w:rPr>
          <w:rFonts w:hint="eastAsia" w:ascii="仿宋_GB2312" w:hAnsi="仿宋_GB2312" w:eastAsia="仿宋_GB2312" w:cs="仿宋_GB2312"/>
          <w:sz w:val="32"/>
          <w:szCs w:val="32"/>
          <w:highlight w:val="none"/>
          <w:lang w:eastAsia="zh-CN"/>
        </w:rPr>
        <w:t>年初</w:t>
      </w:r>
      <w:r>
        <w:rPr>
          <w:rFonts w:hint="eastAsia" w:ascii="仿宋_GB2312" w:hAnsi="仿宋_GB2312" w:eastAsia="仿宋_GB2312" w:cs="仿宋_GB2312"/>
          <w:sz w:val="32"/>
          <w:szCs w:val="32"/>
          <w:highlight w:val="none"/>
        </w:rPr>
        <w:t>预算的</w:t>
      </w:r>
      <w:r>
        <w:rPr>
          <w:rFonts w:hint="eastAsia" w:ascii="仿宋_GB2312" w:hAnsi="仿宋_GB2312" w:eastAsia="仿宋_GB2312" w:cs="仿宋_GB2312"/>
          <w:sz w:val="32"/>
          <w:szCs w:val="32"/>
          <w:highlight w:val="none"/>
          <w:lang w:val="en-US" w:eastAsia="zh-CN"/>
        </w:rPr>
        <w:t>106.32</w:t>
      </w:r>
      <w:r>
        <w:rPr>
          <w:rFonts w:hint="eastAsia" w:ascii="仿宋_GB2312" w:hAnsi="仿宋_GB2312" w:eastAsia="仿宋_GB2312" w:cs="仿宋_GB2312"/>
          <w:sz w:val="32"/>
          <w:szCs w:val="32"/>
          <w:highlight w:val="none"/>
        </w:rPr>
        <w:t>%。其中：</w:t>
      </w:r>
    </w:p>
    <w:p>
      <w:pPr>
        <w:widowControl/>
        <w:spacing w:line="590" w:lineRule="exact"/>
        <w:ind w:firstLine="643"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1．城乡社区支出（类）城乡社区管理事务（款） 市政公用行业市场监管（项）。</w:t>
      </w:r>
      <w:r>
        <w:rPr>
          <w:rFonts w:hint="eastAsia" w:ascii="仿宋_GB2312" w:hAnsi="仿宋_GB2312" w:eastAsia="仿宋_GB2312" w:cs="仿宋_GB2312"/>
          <w:color w:val="auto"/>
          <w:sz w:val="32"/>
          <w:szCs w:val="32"/>
          <w:highlight w:val="none"/>
          <w:lang w:val="en-US" w:eastAsia="zh-CN"/>
        </w:rPr>
        <w:t>年初预算为</w:t>
      </w:r>
      <w:r>
        <w:rPr>
          <w:rFonts w:hint="eastAsia" w:ascii="仿宋_GB2312" w:hAnsi="仿宋_GB2312" w:eastAsia="仿宋_GB2312" w:cs="仿宋_GB2312"/>
          <w:sz w:val="32"/>
          <w:szCs w:val="32"/>
          <w:highlight w:val="none"/>
          <w:lang w:val="en-US" w:eastAsia="zh-CN"/>
        </w:rPr>
        <w:t>119.00</w:t>
      </w:r>
      <w:r>
        <w:rPr>
          <w:rFonts w:hint="eastAsia" w:ascii="仿宋_GB2312" w:hAnsi="仿宋_GB2312" w:eastAsia="仿宋_GB2312" w:cs="仿宋_GB2312"/>
          <w:color w:val="auto"/>
          <w:sz w:val="32"/>
          <w:szCs w:val="32"/>
          <w:highlight w:val="none"/>
          <w:lang w:val="en-US" w:eastAsia="zh-CN"/>
        </w:rPr>
        <w:t>万元，支出决算为126.52万元，完成年初预算的106.32%。决算数与年初预算数存在差异的主要原因是</w:t>
      </w:r>
      <w:r>
        <w:rPr>
          <w:rFonts w:hint="eastAsia" w:ascii="仿宋_GB2312" w:hAnsi="仿宋_GB2312" w:eastAsia="仿宋_GB2312" w:cs="仿宋_GB2312"/>
          <w:sz w:val="32"/>
          <w:szCs w:val="32"/>
          <w:highlight w:val="none"/>
          <w:lang w:eastAsia="zh-CN"/>
        </w:rPr>
        <w:t>本年度人员工资标准上调</w:t>
      </w:r>
      <w:r>
        <w:rPr>
          <w:rFonts w:hint="eastAsia" w:ascii="仿宋_GB2312" w:hAnsi="仿宋_GB2312" w:eastAsia="仿宋_GB2312" w:cs="仿宋_GB2312"/>
          <w:sz w:val="32"/>
          <w:szCs w:val="32"/>
          <w:highlight w:val="none"/>
        </w:rPr>
        <w:t>。</w:t>
      </w:r>
    </w:p>
    <w:p>
      <w:pPr>
        <w:widowControl/>
        <w:spacing w:line="590" w:lineRule="exact"/>
        <w:ind w:firstLine="640" w:firstLineChars="200"/>
        <w:outlineLvl w:val="1"/>
        <w:rPr>
          <w:rFonts w:hint="eastAsia" w:ascii="黑体" w:hAnsi="黑体" w:eastAsia="黑体" w:cs="黑体"/>
          <w:sz w:val="32"/>
          <w:szCs w:val="32"/>
          <w:highlight w:val="none"/>
        </w:rPr>
      </w:pPr>
      <w:r>
        <w:rPr>
          <w:rFonts w:hint="eastAsia" w:ascii="黑体" w:hAnsi="黑体" w:eastAsia="黑体" w:cs="黑体"/>
          <w:sz w:val="32"/>
          <w:szCs w:val="32"/>
          <w:highlight w:val="none"/>
        </w:rPr>
        <w:t>六、一般公共预算财政拨款基本支出决算情况说明</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2021年度一般公共预算财政拨款基本支出</w:t>
      </w:r>
      <w:r>
        <w:rPr>
          <w:rFonts w:hint="eastAsia" w:ascii="仿宋_GB2312" w:hAnsi="仿宋_GB2312" w:eastAsia="仿宋_GB2312" w:cs="仿宋_GB2312"/>
          <w:sz w:val="32"/>
          <w:szCs w:val="32"/>
          <w:highlight w:val="none"/>
          <w:lang w:val="en-US" w:eastAsia="zh-CN"/>
        </w:rPr>
        <w:t>126.52</w:t>
      </w:r>
      <w:r>
        <w:rPr>
          <w:rFonts w:hint="eastAsia" w:ascii="仿宋_GB2312" w:hAnsi="仿宋_GB2312" w:eastAsia="仿宋_GB2312" w:cs="仿宋_GB2312"/>
          <w:color w:val="auto"/>
          <w:sz w:val="32"/>
          <w:szCs w:val="32"/>
          <w:highlight w:val="none"/>
          <w:lang w:val="en-US" w:eastAsia="zh-CN"/>
        </w:rPr>
        <w:t>万元。其中：人员经费</w:t>
      </w:r>
      <w:r>
        <w:rPr>
          <w:rFonts w:hint="eastAsia" w:ascii="仿宋_GB2312" w:hAnsi="仿宋_GB2312" w:eastAsia="仿宋_GB2312" w:cs="仿宋_GB2312"/>
          <w:sz w:val="32"/>
          <w:szCs w:val="32"/>
          <w:highlight w:val="none"/>
          <w:lang w:val="en-US" w:eastAsia="zh-CN"/>
        </w:rPr>
        <w:t>124.85</w:t>
      </w:r>
      <w:r>
        <w:rPr>
          <w:rFonts w:hint="eastAsia" w:ascii="仿宋_GB2312" w:hAnsi="仿宋_GB2312" w:eastAsia="仿宋_GB2312" w:cs="仿宋_GB2312"/>
          <w:color w:val="auto"/>
          <w:sz w:val="32"/>
          <w:szCs w:val="32"/>
          <w:highlight w:val="none"/>
          <w:lang w:val="en-US" w:eastAsia="zh-CN"/>
        </w:rPr>
        <w:t>万元，主要包括：基本工资、津贴补贴、绩效工资、机关事业单位基本养老保险缴费、职工基本医疗保险缴费、其他社会保障缴费、住房公积金；公用经费</w:t>
      </w:r>
      <w:r>
        <w:rPr>
          <w:rFonts w:hint="eastAsia" w:ascii="仿宋_GB2312" w:hAnsi="仿宋_GB2312" w:eastAsia="仿宋_GB2312" w:cs="仿宋_GB2312"/>
          <w:sz w:val="32"/>
          <w:szCs w:val="32"/>
          <w:highlight w:val="none"/>
          <w:lang w:val="en-US" w:eastAsia="zh-CN"/>
        </w:rPr>
        <w:t>1.68</w:t>
      </w:r>
      <w:r>
        <w:rPr>
          <w:rFonts w:hint="eastAsia" w:ascii="仿宋_GB2312" w:hAnsi="仿宋_GB2312" w:eastAsia="仿宋_GB2312" w:cs="仿宋_GB2312"/>
          <w:color w:val="auto"/>
          <w:sz w:val="32"/>
          <w:szCs w:val="32"/>
          <w:highlight w:val="none"/>
          <w:lang w:val="en-US" w:eastAsia="zh-CN"/>
        </w:rPr>
        <w:t>万元，主要包括：办公费。</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1"/>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七、一般公共预算财政拨款“三公”经费支出决算情况说明</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3" w:firstLineChars="200"/>
        <w:jc w:val="both"/>
        <w:textAlignment w:val="auto"/>
        <w:outlineLvl w:val="2"/>
        <w:rPr>
          <w:rFonts w:hint="eastAsia" w:ascii="楷体_GB2312" w:hAnsi="楷体_GB2312" w:eastAsia="楷体_GB2312" w:cs="楷体_GB2312"/>
          <w:b/>
          <w:bCs/>
          <w:color w:val="auto"/>
          <w:sz w:val="32"/>
          <w:szCs w:val="32"/>
          <w:highlight w:val="none"/>
          <w:lang w:val="en-US" w:eastAsia="zh-CN"/>
        </w:rPr>
      </w:pPr>
      <w:r>
        <w:rPr>
          <w:rFonts w:hint="eastAsia" w:ascii="楷体_GB2312" w:hAnsi="楷体_GB2312" w:eastAsia="楷体_GB2312" w:cs="楷体_GB2312"/>
          <w:b/>
          <w:bCs/>
          <w:color w:val="auto"/>
          <w:sz w:val="32"/>
          <w:szCs w:val="32"/>
          <w:highlight w:val="none"/>
          <w:lang w:val="en-US" w:eastAsia="zh-CN"/>
        </w:rPr>
        <w:t>（一）“三公”经费财政拨款支出决算总体情况说明。</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2021年度“三公”经费财政拨款支出预算为0.00万元，支出决算为0.00万元，完成预算的0.00%。2021年度“三公”经费支出决算数与预算数无差异。</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3" w:firstLineChars="200"/>
        <w:jc w:val="both"/>
        <w:textAlignment w:val="auto"/>
        <w:outlineLvl w:val="2"/>
        <w:rPr>
          <w:rFonts w:hint="eastAsia" w:ascii="楷体_GB2312" w:hAnsi="楷体_GB2312" w:eastAsia="楷体_GB2312" w:cs="楷体_GB2312"/>
          <w:b/>
          <w:bCs/>
          <w:color w:val="auto"/>
          <w:sz w:val="32"/>
          <w:szCs w:val="32"/>
          <w:highlight w:val="none"/>
          <w:lang w:val="en-US" w:eastAsia="zh-CN"/>
        </w:rPr>
      </w:pPr>
      <w:r>
        <w:rPr>
          <w:rFonts w:hint="eastAsia" w:ascii="楷体_GB2312" w:hAnsi="楷体_GB2312" w:eastAsia="楷体_GB2312" w:cs="楷体_GB2312"/>
          <w:b/>
          <w:bCs/>
          <w:color w:val="auto"/>
          <w:sz w:val="32"/>
          <w:szCs w:val="32"/>
          <w:highlight w:val="none"/>
          <w:lang w:val="en-US" w:eastAsia="zh-CN"/>
        </w:rPr>
        <w:t>（二）“三公”经费财政拨款支出决算具体情况说明。</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2021年度“三公”经费财政拨款支出决算中，因公出国（境）费支出决算0.00万元，完成预算的0.00%，占0.00%；公务用车购置及运行费支出决算0.00万元，完成预算的0.00%，占0.00%；公务接待费支出决算0.00万元，完成预算的0.00%，占0.00%。具体情况如下：</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3"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1．因公出国（境）费</w:t>
      </w:r>
      <w:r>
        <w:rPr>
          <w:rFonts w:hint="eastAsia" w:ascii="仿宋_GB2312" w:hAnsi="仿宋_GB2312" w:eastAsia="仿宋_GB2312" w:cs="仿宋_GB2312"/>
          <w:color w:val="auto"/>
          <w:sz w:val="32"/>
          <w:szCs w:val="32"/>
          <w:highlight w:val="none"/>
          <w:lang w:val="en-US" w:eastAsia="zh-CN"/>
        </w:rPr>
        <w:t>预算为0.00万元，支出决算为0.00万元，完成预算的0.00%。决算数与预算数无差异。全年因公出国（境）团组0个，累计0人次。</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3"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2．公务用车购置及运行费</w:t>
      </w:r>
      <w:r>
        <w:rPr>
          <w:rFonts w:hint="eastAsia" w:ascii="仿宋_GB2312" w:hAnsi="仿宋_GB2312" w:eastAsia="仿宋_GB2312" w:cs="仿宋_GB2312"/>
          <w:color w:val="auto"/>
          <w:sz w:val="32"/>
          <w:szCs w:val="32"/>
          <w:highlight w:val="none"/>
          <w:lang w:val="en-US" w:eastAsia="zh-CN"/>
        </w:rPr>
        <w:t>预算为0.00万元，支出决算为0.00万元，完成预算的0.00%。决算数与预算数无差异。其中：</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3"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公务用车购置支出</w:t>
      </w:r>
      <w:r>
        <w:rPr>
          <w:rFonts w:hint="eastAsia" w:ascii="仿宋_GB2312" w:hAnsi="仿宋_GB2312" w:eastAsia="仿宋_GB2312" w:cs="仿宋_GB2312"/>
          <w:color w:val="auto"/>
          <w:sz w:val="32"/>
          <w:szCs w:val="32"/>
          <w:highlight w:val="none"/>
          <w:lang w:val="en-US" w:eastAsia="zh-CN"/>
        </w:rPr>
        <w:t>0.00</w:t>
      </w:r>
      <w:r>
        <w:rPr>
          <w:rFonts w:hint="eastAsia" w:ascii="仿宋_GB2312" w:hAnsi="仿宋_GB2312" w:eastAsia="仿宋_GB2312" w:cs="仿宋_GB2312"/>
          <w:b w:val="0"/>
          <w:bCs w:val="0"/>
          <w:color w:val="auto"/>
          <w:sz w:val="32"/>
          <w:szCs w:val="32"/>
          <w:highlight w:val="none"/>
          <w:lang w:val="en-US" w:eastAsia="zh-CN"/>
        </w:rPr>
        <w:t>万元</w:t>
      </w:r>
      <w:r>
        <w:rPr>
          <w:rFonts w:hint="eastAsia" w:ascii="仿宋_GB2312" w:hAnsi="仿宋_GB2312" w:eastAsia="仿宋_GB2312" w:cs="仿宋_GB2312"/>
          <w:color w:val="auto"/>
          <w:sz w:val="32"/>
          <w:szCs w:val="32"/>
          <w:highlight w:val="none"/>
          <w:lang w:val="en-US" w:eastAsia="zh-CN"/>
        </w:rPr>
        <w:t>，购置车辆0辆。</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3"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公务用车运行支出</w:t>
      </w:r>
      <w:r>
        <w:rPr>
          <w:rFonts w:hint="eastAsia" w:ascii="仿宋_GB2312" w:hAnsi="仿宋_GB2312" w:eastAsia="仿宋_GB2312" w:cs="仿宋_GB2312"/>
          <w:color w:val="auto"/>
          <w:sz w:val="32"/>
          <w:szCs w:val="32"/>
          <w:highlight w:val="none"/>
          <w:lang w:val="en-US" w:eastAsia="zh-CN"/>
        </w:rPr>
        <w:t>0.00</w:t>
      </w:r>
      <w:r>
        <w:rPr>
          <w:rFonts w:hint="eastAsia" w:ascii="仿宋_GB2312" w:hAnsi="仿宋_GB2312" w:eastAsia="仿宋_GB2312" w:cs="仿宋_GB2312"/>
          <w:b w:val="0"/>
          <w:bCs w:val="0"/>
          <w:color w:val="auto"/>
          <w:sz w:val="32"/>
          <w:szCs w:val="32"/>
          <w:highlight w:val="none"/>
          <w:lang w:val="en-US" w:eastAsia="zh-CN"/>
        </w:rPr>
        <w:t>万元。</w:t>
      </w:r>
      <w:r>
        <w:rPr>
          <w:rFonts w:hint="eastAsia" w:ascii="仿宋_GB2312" w:hAnsi="仿宋_GB2312" w:eastAsia="仿宋_GB2312" w:cs="仿宋_GB2312"/>
          <w:color w:val="auto"/>
          <w:sz w:val="32"/>
          <w:szCs w:val="32"/>
          <w:highlight w:val="none"/>
          <w:lang w:val="en-US" w:eastAsia="zh-CN"/>
        </w:rPr>
        <w:t>2021年期末，部门开支财政拨款的公务用车保有量为0辆。</w:t>
      </w:r>
    </w:p>
    <w:p>
      <w:pPr>
        <w:keepNext w:val="0"/>
        <w:keepLines w:val="0"/>
        <w:pageBreakBefore w:val="0"/>
        <w:widowControl/>
        <w:numPr>
          <w:ilvl w:val="0"/>
          <w:numId w:val="0"/>
        </w:numPr>
        <w:kinsoku/>
        <w:wordWrap/>
        <w:overflowPunct/>
        <w:topLinePunct w:val="0"/>
        <w:autoSpaceDE/>
        <w:autoSpaceDN/>
        <w:bidi w:val="0"/>
        <w:adjustRightInd/>
        <w:snapToGrid/>
        <w:spacing w:line="590" w:lineRule="exact"/>
        <w:ind w:right="0" w:rightChars="0" w:firstLine="643"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3.公务接待费</w:t>
      </w:r>
      <w:r>
        <w:rPr>
          <w:rFonts w:hint="eastAsia" w:ascii="仿宋_GB2312" w:hAnsi="仿宋_GB2312" w:eastAsia="仿宋_GB2312" w:cs="仿宋_GB2312"/>
          <w:color w:val="auto"/>
          <w:sz w:val="32"/>
          <w:szCs w:val="32"/>
          <w:highlight w:val="none"/>
          <w:lang w:val="en-US" w:eastAsia="zh-CN"/>
        </w:rPr>
        <w:t>预算为0.00万元，支出决算为0.00万元，完成预算的0.00%。决算数与预算数无差异。其中：</w:t>
      </w:r>
    </w:p>
    <w:p>
      <w:pPr>
        <w:keepNext w:val="0"/>
        <w:keepLines w:val="0"/>
        <w:pageBreakBefore w:val="0"/>
        <w:widowControl/>
        <w:numPr>
          <w:ilvl w:val="0"/>
          <w:numId w:val="0"/>
        </w:numPr>
        <w:kinsoku/>
        <w:wordWrap/>
        <w:overflowPunct/>
        <w:topLinePunct w:val="0"/>
        <w:autoSpaceDE/>
        <w:autoSpaceDN/>
        <w:bidi w:val="0"/>
        <w:adjustRightInd/>
        <w:snapToGrid/>
        <w:spacing w:line="590" w:lineRule="exact"/>
        <w:ind w:right="0" w:rightChars="0" w:firstLine="643"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外宾接待支出</w:t>
      </w:r>
      <w:r>
        <w:rPr>
          <w:rFonts w:hint="eastAsia" w:ascii="仿宋_GB2312" w:hAnsi="仿宋_GB2312" w:eastAsia="仿宋_GB2312" w:cs="仿宋_GB2312"/>
          <w:color w:val="auto"/>
          <w:sz w:val="32"/>
          <w:szCs w:val="32"/>
          <w:highlight w:val="none"/>
          <w:lang w:val="en-US" w:eastAsia="zh-CN"/>
        </w:rPr>
        <w:t>0.00万元。2021年共接待国（境）外来访团组0个、来访外宾0人次（不包括陪同人员）。</w:t>
      </w:r>
    </w:p>
    <w:p>
      <w:pPr>
        <w:keepNext w:val="0"/>
        <w:keepLines w:val="0"/>
        <w:pageBreakBefore w:val="0"/>
        <w:widowControl/>
        <w:numPr>
          <w:ilvl w:val="0"/>
          <w:numId w:val="0"/>
        </w:numPr>
        <w:kinsoku/>
        <w:wordWrap/>
        <w:overflowPunct/>
        <w:topLinePunct w:val="0"/>
        <w:autoSpaceDE/>
        <w:autoSpaceDN/>
        <w:bidi w:val="0"/>
        <w:adjustRightInd/>
        <w:snapToGrid/>
        <w:spacing w:line="590" w:lineRule="exact"/>
        <w:ind w:right="0" w:rightChars="0" w:firstLine="643"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其他国内公务接待支出</w:t>
      </w:r>
      <w:r>
        <w:rPr>
          <w:rFonts w:hint="eastAsia" w:ascii="仿宋_GB2312" w:hAnsi="仿宋_GB2312" w:eastAsia="仿宋_GB2312" w:cs="仿宋_GB2312"/>
          <w:color w:val="auto"/>
          <w:sz w:val="32"/>
          <w:szCs w:val="32"/>
          <w:highlight w:val="none"/>
          <w:lang w:val="en-US" w:eastAsia="zh-CN"/>
        </w:rPr>
        <w:t>0.00万元。2021年共接待国内来访团组0个、来宾0人次（不包括陪同人员）。</w:t>
      </w:r>
    </w:p>
    <w:p>
      <w:pPr>
        <w:widowControl/>
        <w:spacing w:line="590" w:lineRule="exact"/>
        <w:ind w:firstLine="640" w:firstLineChars="200"/>
        <w:outlineLvl w:val="1"/>
        <w:rPr>
          <w:rFonts w:hint="eastAsia" w:ascii="黑体" w:hAnsi="黑体" w:eastAsia="黑体" w:cs="黑体"/>
          <w:sz w:val="32"/>
          <w:szCs w:val="32"/>
          <w:highlight w:val="none"/>
        </w:rPr>
      </w:pPr>
      <w:r>
        <w:rPr>
          <w:rFonts w:hint="eastAsia" w:ascii="黑体" w:hAnsi="黑体" w:eastAsia="黑体" w:cs="黑体"/>
          <w:sz w:val="32"/>
          <w:szCs w:val="32"/>
          <w:highlight w:val="none"/>
        </w:rPr>
        <w:t>八、政府性基金预算财政拨款支出决算情况说明</w:t>
      </w:r>
    </w:p>
    <w:p>
      <w:pPr>
        <w:widowControl/>
        <w:spacing w:line="590" w:lineRule="exact"/>
        <w:ind w:firstLine="640" w:firstLineChars="200"/>
        <w:rPr>
          <w:rFonts w:hint="eastAsia" w:ascii="仿宋_GB2312" w:hAnsi="仿宋_GB2312" w:eastAsia="仿宋_GB2312" w:cs="仿宋_GB2312"/>
          <w:color w:val="auto"/>
          <w:sz w:val="32"/>
          <w:szCs w:val="32"/>
          <w:highlight w:val="yellow"/>
          <w:lang w:val="en-US" w:eastAsia="zh-CN"/>
        </w:rPr>
      </w:pPr>
      <w:r>
        <w:rPr>
          <w:rFonts w:hint="eastAsia" w:ascii="仿宋_GB2312" w:hAnsi="仿宋_GB2312" w:eastAsia="仿宋_GB2312" w:cs="仿宋_GB2312"/>
          <w:color w:val="auto"/>
          <w:sz w:val="32"/>
          <w:szCs w:val="32"/>
          <w:highlight w:val="none"/>
          <w:lang w:val="en-US" w:eastAsia="zh-CN"/>
        </w:rPr>
        <w:t>2021年度政府性基金预算财政拨款支出年初预算为0.00万元，支出决算为0.00万元，完成预算的0.00%。不存在项目年末结转和结余资金数额较大。情况说明：</w:t>
      </w:r>
      <w:r>
        <w:rPr>
          <w:rFonts w:hint="eastAsia" w:ascii="仿宋_GB2312" w:hAnsi="仿宋_GB2312" w:eastAsia="仿宋_GB2312" w:cs="仿宋_GB2312"/>
          <w:sz w:val="32"/>
          <w:szCs w:val="32"/>
          <w:highlight w:val="none"/>
        </w:rPr>
        <w:t>我单位202</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年度没有政府性基金收入，也没有使用政府性基金安排的支出。</w:t>
      </w:r>
    </w:p>
    <w:p>
      <w:pPr>
        <w:widowControl/>
        <w:spacing w:line="590" w:lineRule="exact"/>
        <w:ind w:firstLine="640" w:firstLineChars="200"/>
        <w:outlineLvl w:val="1"/>
        <w:rPr>
          <w:rFonts w:hint="eastAsia" w:ascii="黑体" w:hAnsi="黑体" w:eastAsia="黑体" w:cs="黑体"/>
          <w:sz w:val="32"/>
          <w:szCs w:val="32"/>
          <w:highlight w:val="none"/>
        </w:rPr>
      </w:pPr>
      <w:r>
        <w:rPr>
          <w:rFonts w:hint="eastAsia" w:ascii="黑体" w:hAnsi="黑体" w:eastAsia="黑体" w:cs="黑体"/>
          <w:sz w:val="32"/>
          <w:szCs w:val="32"/>
          <w:highlight w:val="none"/>
        </w:rPr>
        <w:t>九、机关运行经费支出情况说明</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2021年度机关运行经费年初预算为0.00万元，支出决算为0.00万元，完成预算的0.00%。决算数与年初预算数无差异。主要原因是：我单位不是行政机关，也不是参照公务员管理事业单位，没有机关运行经费支出。</w:t>
      </w:r>
    </w:p>
    <w:p>
      <w:pPr>
        <w:widowControl/>
        <w:spacing w:line="590" w:lineRule="exact"/>
        <w:ind w:firstLine="640" w:firstLineChars="200"/>
        <w:outlineLvl w:val="1"/>
        <w:rPr>
          <w:rFonts w:hint="eastAsia" w:ascii="黑体" w:hAnsi="黑体" w:eastAsia="黑体" w:cs="黑体"/>
          <w:sz w:val="32"/>
          <w:szCs w:val="32"/>
          <w:highlight w:val="none"/>
        </w:rPr>
      </w:pPr>
      <w:r>
        <w:rPr>
          <w:rFonts w:hint="eastAsia" w:ascii="黑体" w:hAnsi="黑体" w:eastAsia="黑体" w:cs="黑体"/>
          <w:sz w:val="32"/>
          <w:szCs w:val="32"/>
          <w:highlight w:val="none"/>
        </w:rPr>
        <w:t>十、政府采购支出情况说明</w:t>
      </w:r>
    </w:p>
    <w:p>
      <w:pPr>
        <w:widowControl/>
        <w:spacing w:line="59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color w:val="auto"/>
          <w:sz w:val="32"/>
          <w:szCs w:val="32"/>
          <w:highlight w:val="none"/>
          <w:lang w:val="en-US" w:eastAsia="zh-CN"/>
        </w:rPr>
        <w:t>2021年度政府采购支出总额0.00万元，其中：政府采购货物支出0.00万元、政府采购工程支出0.00万元、政府采购服务支出0.00万元。</w:t>
      </w:r>
      <w:r>
        <w:rPr>
          <w:rFonts w:hint="eastAsia" w:ascii="仿宋_GB2312" w:hAnsi="仿宋_GB2312" w:eastAsia="仿宋_GB2312" w:cs="仿宋_GB2312"/>
          <w:sz w:val="32"/>
          <w:szCs w:val="32"/>
          <w:highlight w:val="none"/>
        </w:rPr>
        <w:t>授予中小企业合同金额</w:t>
      </w:r>
      <w:r>
        <w:rPr>
          <w:rFonts w:hint="eastAsia" w:ascii="仿宋_GB2312" w:hAnsi="仿宋_GB2312" w:eastAsia="仿宋_GB2312" w:cs="仿宋_GB2312"/>
          <w:sz w:val="32"/>
          <w:szCs w:val="32"/>
          <w:highlight w:val="none"/>
          <w:lang w:val="en-US" w:eastAsia="zh-CN"/>
        </w:rPr>
        <w:t>0.00</w:t>
      </w:r>
      <w:r>
        <w:rPr>
          <w:rFonts w:hint="eastAsia" w:ascii="仿宋_GB2312" w:hAnsi="仿宋_GB2312" w:eastAsia="仿宋_GB2312" w:cs="仿宋_GB2312"/>
          <w:sz w:val="32"/>
          <w:szCs w:val="32"/>
          <w:highlight w:val="none"/>
        </w:rPr>
        <w:t>万元，占政府采购支出总额的</w:t>
      </w:r>
      <w:r>
        <w:rPr>
          <w:rFonts w:hint="eastAsia" w:ascii="仿宋_GB2312" w:hAnsi="仿宋_GB2312" w:eastAsia="仿宋_GB2312" w:cs="仿宋_GB2312"/>
          <w:sz w:val="32"/>
          <w:szCs w:val="32"/>
          <w:highlight w:val="none"/>
          <w:lang w:val="en-US" w:eastAsia="zh-CN"/>
        </w:rPr>
        <w:t>0.00</w:t>
      </w:r>
      <w:r>
        <w:rPr>
          <w:rFonts w:hint="eastAsia" w:ascii="仿宋_GB2312" w:hAnsi="仿宋_GB2312" w:eastAsia="仿宋_GB2312" w:cs="仿宋_GB2312"/>
          <w:sz w:val="32"/>
          <w:szCs w:val="32"/>
          <w:highlight w:val="none"/>
        </w:rPr>
        <w:t>%，其中：授予小微企业合同金额</w:t>
      </w:r>
      <w:r>
        <w:rPr>
          <w:rFonts w:hint="eastAsia" w:ascii="仿宋_GB2312" w:hAnsi="仿宋_GB2312" w:eastAsia="仿宋_GB2312" w:cs="仿宋_GB2312"/>
          <w:sz w:val="32"/>
          <w:szCs w:val="32"/>
          <w:highlight w:val="none"/>
          <w:lang w:val="en-US" w:eastAsia="zh-CN"/>
        </w:rPr>
        <w:t>0.00</w:t>
      </w:r>
      <w:r>
        <w:rPr>
          <w:rFonts w:hint="eastAsia" w:ascii="仿宋_GB2312" w:hAnsi="仿宋_GB2312" w:eastAsia="仿宋_GB2312" w:cs="仿宋_GB2312"/>
          <w:sz w:val="32"/>
          <w:szCs w:val="32"/>
          <w:highlight w:val="none"/>
        </w:rPr>
        <w:t>万元，占政府采购支出总额的</w:t>
      </w:r>
      <w:r>
        <w:rPr>
          <w:rFonts w:hint="eastAsia" w:ascii="仿宋_GB2312" w:hAnsi="仿宋_GB2312" w:eastAsia="仿宋_GB2312" w:cs="仿宋_GB2312"/>
          <w:sz w:val="32"/>
          <w:szCs w:val="32"/>
          <w:highlight w:val="none"/>
          <w:lang w:val="en-US" w:eastAsia="zh-CN"/>
        </w:rPr>
        <w:t>0.00</w:t>
      </w:r>
      <w:r>
        <w:rPr>
          <w:rFonts w:hint="eastAsia" w:ascii="仿宋_GB2312" w:hAnsi="仿宋_GB2312" w:eastAsia="仿宋_GB2312" w:cs="仿宋_GB2312"/>
          <w:sz w:val="32"/>
          <w:szCs w:val="32"/>
          <w:highlight w:val="none"/>
        </w:rPr>
        <w:t>%。</w:t>
      </w:r>
    </w:p>
    <w:p>
      <w:pPr>
        <w:widowControl/>
        <w:spacing w:line="590" w:lineRule="exact"/>
        <w:ind w:firstLine="640" w:firstLineChars="200"/>
        <w:outlineLvl w:val="1"/>
        <w:rPr>
          <w:rFonts w:hint="eastAsia" w:ascii="黑体" w:hAnsi="黑体" w:eastAsia="黑体" w:cs="黑体"/>
          <w:sz w:val="32"/>
          <w:szCs w:val="32"/>
          <w:highlight w:val="none"/>
        </w:rPr>
      </w:pPr>
      <w:r>
        <w:rPr>
          <w:rFonts w:hint="eastAsia" w:ascii="黑体" w:hAnsi="黑体" w:eastAsia="黑体" w:cs="黑体"/>
          <w:sz w:val="32"/>
          <w:szCs w:val="32"/>
          <w:highlight w:val="none"/>
        </w:rPr>
        <w:t>十一、国有资产占用情况说明</w:t>
      </w:r>
    </w:p>
    <w:p>
      <w:pPr>
        <w:widowControl/>
        <w:spacing w:line="590" w:lineRule="exact"/>
        <w:ind w:firstLine="640" w:firstLineChars="200"/>
        <w:rPr>
          <w:rFonts w:hint="eastAsia" w:ascii="仿宋_GB2312" w:hAnsi="仿宋_GB2312" w:eastAsia="仿宋_GB2312" w:cs="仿宋_GB2312"/>
          <w:sz w:val="32"/>
          <w:szCs w:val="32"/>
          <w:highlight w:val="none"/>
        </w:rPr>
      </w:pPr>
      <w:r>
        <w:rPr>
          <w:rFonts w:ascii="仿宋_GB2312" w:hAnsi="仿宋_GB2312" w:eastAsia="仿宋_GB2312" w:cs="仿宋_GB2312"/>
          <w:sz w:val="32"/>
          <w:szCs w:val="32"/>
          <w:highlight w:val="none"/>
        </w:rPr>
        <w:t>2021</w:t>
      </w:r>
      <w:r>
        <w:rPr>
          <w:rFonts w:hint="eastAsia" w:ascii="仿宋_GB2312" w:hAnsi="仿宋_GB2312" w:eastAsia="仿宋_GB2312" w:cs="仿宋_GB2312"/>
          <w:sz w:val="32"/>
          <w:szCs w:val="32"/>
          <w:highlight w:val="none"/>
        </w:rPr>
        <w:t>年期末，我单位共有车辆</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辆，其中：省级领导干部用车</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辆、主要领导干部用车</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辆、机要通信用车</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辆、应急保障车</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辆、执法执勤用车</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辆、特种专业技术用车</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辆、离退休干部用车</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辆、其他用车</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辆；单位价值50</w:t>
      </w:r>
      <w:r>
        <w:rPr>
          <w:rFonts w:hint="eastAsia" w:ascii="仿宋_GB2312" w:hAnsi="仿宋_GB2312" w:eastAsia="仿宋_GB2312" w:cs="仿宋_GB2312"/>
          <w:sz w:val="32"/>
          <w:szCs w:val="32"/>
          <w:highlight w:val="none"/>
          <w:lang w:val="en-US" w:eastAsia="zh-CN"/>
        </w:rPr>
        <w:t>.00</w:t>
      </w:r>
      <w:r>
        <w:rPr>
          <w:rFonts w:hint="eastAsia" w:ascii="仿宋_GB2312" w:hAnsi="仿宋_GB2312" w:eastAsia="仿宋_GB2312" w:cs="仿宋_GB2312"/>
          <w:sz w:val="32"/>
          <w:szCs w:val="32"/>
          <w:highlight w:val="none"/>
        </w:rPr>
        <w:t>万元以上通用设备</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台（套），单位价值100</w:t>
      </w:r>
      <w:r>
        <w:rPr>
          <w:rFonts w:hint="eastAsia" w:ascii="仿宋_GB2312" w:hAnsi="仿宋_GB2312" w:eastAsia="仿宋_GB2312" w:cs="仿宋_GB2312"/>
          <w:sz w:val="32"/>
          <w:szCs w:val="32"/>
          <w:highlight w:val="none"/>
          <w:lang w:val="en-US" w:eastAsia="zh-CN"/>
        </w:rPr>
        <w:t>.00</w:t>
      </w:r>
      <w:r>
        <w:rPr>
          <w:rFonts w:hint="eastAsia" w:ascii="仿宋_GB2312" w:hAnsi="仿宋_GB2312" w:eastAsia="仿宋_GB2312" w:cs="仿宋_GB2312"/>
          <w:sz w:val="32"/>
          <w:szCs w:val="32"/>
          <w:highlight w:val="none"/>
        </w:rPr>
        <w:t>万元以上专用设备</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台（套）。</w:t>
      </w:r>
    </w:p>
    <w:p>
      <w:pPr>
        <w:widowControl/>
        <w:spacing w:line="590" w:lineRule="exact"/>
        <w:ind w:firstLine="640" w:firstLineChars="200"/>
        <w:outlineLvl w:val="1"/>
        <w:rPr>
          <w:rFonts w:hint="eastAsia" w:ascii="黑体" w:hAnsi="黑体" w:eastAsia="黑体" w:cs="黑体"/>
          <w:sz w:val="32"/>
          <w:szCs w:val="32"/>
          <w:highlight w:val="none"/>
        </w:rPr>
      </w:pPr>
      <w:r>
        <w:rPr>
          <w:rFonts w:hint="eastAsia" w:ascii="黑体" w:hAnsi="黑体" w:eastAsia="黑体" w:cs="黑体"/>
          <w:sz w:val="32"/>
          <w:szCs w:val="32"/>
          <w:highlight w:val="none"/>
        </w:rPr>
        <w:t>十二、预算绩效情况说明</w:t>
      </w:r>
    </w:p>
    <w:p>
      <w:pPr>
        <w:keepNext w:val="0"/>
        <w:keepLines w:val="0"/>
        <w:pageBreakBefore w:val="0"/>
        <w:widowControl/>
        <w:kinsoku/>
        <w:wordWrap/>
        <w:overflowPunct/>
        <w:topLinePunct w:val="0"/>
        <w:autoSpaceDE/>
        <w:autoSpaceDN/>
        <w:bidi w:val="0"/>
        <w:adjustRightInd/>
        <w:snapToGrid/>
        <w:spacing w:line="360" w:lineRule="auto"/>
        <w:ind w:right="0" w:rightChars="0" w:firstLine="643" w:firstLineChars="200"/>
        <w:jc w:val="both"/>
        <w:textAlignment w:val="auto"/>
        <w:outlineLvl w:val="2"/>
        <w:rPr>
          <w:rFonts w:hint="eastAsia" w:ascii="楷体_GB2312" w:hAnsi="楷体_GB2312" w:eastAsia="楷体_GB2312" w:cs="楷体_GB2312"/>
          <w:b/>
          <w:bCs/>
          <w:color w:val="auto"/>
          <w:sz w:val="32"/>
          <w:szCs w:val="32"/>
          <w:highlight w:val="none"/>
          <w:lang w:val="en-US" w:eastAsia="zh-CN"/>
        </w:rPr>
      </w:pPr>
      <w:r>
        <w:rPr>
          <w:rFonts w:hint="eastAsia" w:ascii="楷体_GB2312" w:hAnsi="楷体_GB2312" w:eastAsia="楷体_GB2312" w:cs="楷体_GB2312"/>
          <w:b/>
          <w:bCs/>
          <w:color w:val="auto"/>
          <w:sz w:val="32"/>
          <w:szCs w:val="32"/>
          <w:highlight w:val="none"/>
          <w:lang w:val="en-US" w:eastAsia="zh-CN"/>
        </w:rPr>
        <w:t>（一）绩效管理工作开展情况。</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我单位按照《许昌市建安区财政局关于开展2021年度区级预算项目绩效自评工作的通知》（建安财效〔2022〕2号）文件要求，对本单位整体支出和项目支出开展全过程预算绩效管理。2021年我单位纳入预算绩效管理的支出总额为126.52万元，其中：基本支出126.52万元；支出项目0个，支出金额0.00万元。开展项目绩效自评项目0个，自评金额0.00万元；纳入重点绩效评价0个，评价金额0.00万元。</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964" w:firstLineChars="300"/>
        <w:jc w:val="both"/>
        <w:textAlignment w:val="auto"/>
        <w:outlineLvl w:val="2"/>
        <w:rPr>
          <w:rFonts w:hint="eastAsia" w:ascii="楷体_GB2312" w:hAnsi="楷体_GB2312" w:eastAsia="楷体_GB2312" w:cs="楷体_GB2312"/>
          <w:b/>
          <w:bCs/>
          <w:color w:val="auto"/>
          <w:sz w:val="32"/>
          <w:szCs w:val="32"/>
          <w:highlight w:val="none"/>
          <w:lang w:val="en-US" w:eastAsia="zh-CN"/>
        </w:rPr>
      </w:pPr>
      <w:r>
        <w:rPr>
          <w:rFonts w:hint="eastAsia" w:ascii="楷体_GB2312" w:hAnsi="楷体_GB2312" w:eastAsia="楷体_GB2312" w:cs="楷体_GB2312"/>
          <w:b/>
          <w:bCs/>
          <w:color w:val="auto"/>
          <w:sz w:val="32"/>
          <w:szCs w:val="32"/>
          <w:highlight w:val="none"/>
          <w:lang w:val="en-US" w:eastAsia="zh-CN"/>
        </w:rPr>
        <w:t>（二）单位整体和项目绩效自评结果。</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按照《许昌市财政局关于开展2021年度市级预算绩效自评工作的通知》（许财效）〔2021〕1号）等文件精神，我单位对本单位整体绩效目标和项目支出绩效目标进行了自评。一是单位整体绩效自评情况：</w:t>
      </w:r>
      <w:r>
        <w:rPr>
          <w:rFonts w:hint="eastAsia" w:ascii="仿宋_GB2312" w:hAnsi="仿宋_GB2312" w:eastAsia="仿宋_GB2312" w:cs="仿宋_GB2312"/>
          <w:sz w:val="32"/>
          <w:szCs w:val="32"/>
          <w:highlight w:val="none"/>
        </w:rPr>
        <w:t>自20</w:t>
      </w:r>
      <w:r>
        <w:rPr>
          <w:rFonts w:hint="eastAsia" w:ascii="仿宋_GB2312" w:hAnsi="仿宋_GB2312" w:eastAsia="仿宋_GB2312" w:cs="仿宋_GB2312"/>
          <w:sz w:val="32"/>
          <w:szCs w:val="32"/>
          <w:highlight w:val="none"/>
          <w:lang w:val="en-US" w:eastAsia="zh-CN"/>
        </w:rPr>
        <w:t>21</w:t>
      </w:r>
      <w:r>
        <w:rPr>
          <w:rFonts w:hint="eastAsia" w:ascii="仿宋_GB2312" w:hAnsi="仿宋_GB2312" w:eastAsia="仿宋_GB2312" w:cs="仿宋_GB2312"/>
          <w:sz w:val="32"/>
          <w:szCs w:val="32"/>
          <w:highlight w:val="none"/>
        </w:rPr>
        <w:t>年全面开展绩效工作，对管理人员，主要是根据层层分解的关键业绩指标完成情况进行考核；同时，在</w:t>
      </w:r>
      <w:r>
        <w:rPr>
          <w:rFonts w:hint="eastAsia" w:ascii="仿宋_GB2312" w:hAnsi="仿宋_GB2312" w:eastAsia="仿宋_GB2312" w:cs="仿宋_GB2312"/>
          <w:sz w:val="32"/>
          <w:szCs w:val="32"/>
          <w:highlight w:val="none"/>
          <w:lang w:eastAsia="zh-CN"/>
        </w:rPr>
        <w:t>处</w:t>
      </w:r>
      <w:r>
        <w:rPr>
          <w:rFonts w:hint="eastAsia" w:ascii="仿宋_GB2312" w:hAnsi="仿宋_GB2312" w:eastAsia="仿宋_GB2312" w:cs="仿宋_GB2312"/>
          <w:sz w:val="32"/>
          <w:szCs w:val="32"/>
          <w:highlight w:val="none"/>
        </w:rPr>
        <w:t>里倡导采用“考勤制”考核办法，办公室出台了“工作突出制”实施指导意见，帮助</w:t>
      </w:r>
      <w:r>
        <w:rPr>
          <w:rFonts w:hint="eastAsia" w:ascii="仿宋_GB2312" w:hAnsi="仿宋_GB2312" w:eastAsia="仿宋_GB2312" w:cs="仿宋_GB2312"/>
          <w:sz w:val="32"/>
          <w:szCs w:val="32"/>
          <w:highlight w:val="none"/>
          <w:lang w:eastAsia="zh-CN"/>
        </w:rPr>
        <w:t>处</w:t>
      </w:r>
      <w:r>
        <w:rPr>
          <w:rFonts w:hint="eastAsia" w:ascii="仿宋_GB2312" w:hAnsi="仿宋_GB2312" w:eastAsia="仿宋_GB2312" w:cs="仿宋_GB2312"/>
          <w:sz w:val="32"/>
          <w:szCs w:val="32"/>
          <w:highlight w:val="none"/>
        </w:rPr>
        <w:t>里建立各自的考核办法。经过</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年的实施，绩效管理在管理人员中起到了一定的积极作用，各级管理人员真正认识到自己的岗位职责，能够认真履职，管理水平得到极大地提高。在任务繁重、人员紧张的情况下，我们看到，由于长期疲劳工作，干活多的人和干活少的人有了比较，岗位高的人与岗位低的人都在努力干好自己的工作，遵守</w:t>
      </w:r>
      <w:r>
        <w:rPr>
          <w:rFonts w:hint="eastAsia" w:ascii="仿宋_GB2312" w:hAnsi="仿宋_GB2312" w:eastAsia="仿宋_GB2312" w:cs="仿宋_GB2312"/>
          <w:sz w:val="32"/>
          <w:szCs w:val="32"/>
          <w:highlight w:val="none"/>
          <w:lang w:eastAsia="zh-CN"/>
        </w:rPr>
        <w:t>处</w:t>
      </w:r>
      <w:r>
        <w:rPr>
          <w:rFonts w:hint="eastAsia" w:ascii="仿宋_GB2312" w:hAnsi="仿宋_GB2312" w:eastAsia="仿宋_GB2312" w:cs="仿宋_GB2312"/>
          <w:sz w:val="32"/>
          <w:szCs w:val="32"/>
          <w:highlight w:val="none"/>
        </w:rPr>
        <w:t>里的纪律，</w:t>
      </w:r>
      <w:r>
        <w:rPr>
          <w:rFonts w:hint="eastAsia" w:ascii="仿宋_GB2312" w:hAnsi="仿宋_GB2312" w:eastAsia="仿宋_GB2312" w:cs="仿宋_GB2312"/>
          <w:sz w:val="32"/>
          <w:szCs w:val="32"/>
          <w:highlight w:val="none"/>
          <w:lang w:eastAsia="zh-CN"/>
        </w:rPr>
        <w:t>处</w:t>
      </w:r>
      <w:r>
        <w:rPr>
          <w:rFonts w:hint="eastAsia" w:ascii="仿宋_GB2312" w:hAnsi="仿宋_GB2312" w:eastAsia="仿宋_GB2312" w:cs="仿宋_GB2312"/>
          <w:sz w:val="32"/>
          <w:szCs w:val="32"/>
          <w:highlight w:val="none"/>
        </w:rPr>
        <w:t>里的凝聚力和战斗力提高，工作效率提高，以上现象，说明我们的</w:t>
      </w:r>
      <w:r>
        <w:rPr>
          <w:rFonts w:hint="eastAsia" w:ascii="仿宋_GB2312" w:hAnsi="仿宋_GB2312" w:eastAsia="仿宋_GB2312" w:cs="仿宋_GB2312"/>
          <w:sz w:val="32"/>
          <w:szCs w:val="32"/>
          <w:highlight w:val="none"/>
          <w:lang w:eastAsia="zh-CN"/>
        </w:rPr>
        <w:t>整体</w:t>
      </w:r>
      <w:r>
        <w:rPr>
          <w:rFonts w:hint="eastAsia" w:ascii="仿宋_GB2312" w:hAnsi="仿宋_GB2312" w:eastAsia="仿宋_GB2312" w:cs="仿宋_GB2312"/>
          <w:sz w:val="32"/>
          <w:szCs w:val="32"/>
          <w:highlight w:val="none"/>
        </w:rPr>
        <w:t>绩效管理工作取得了一定的成效</w:t>
      </w:r>
      <w:r>
        <w:rPr>
          <w:rFonts w:hint="eastAsia" w:ascii="仿宋_GB2312" w:hAnsi="仿宋_GB2312" w:eastAsia="仿宋_GB2312" w:cs="仿宋_GB2312"/>
          <w:color w:val="auto"/>
          <w:sz w:val="32"/>
          <w:szCs w:val="32"/>
          <w:highlight w:val="none"/>
          <w:lang w:val="en-US" w:eastAsia="zh-CN"/>
        </w:rPr>
        <w:t>。二是项目绩效自评情况。我单位共有0个项目批复了绩效目标。</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960" w:firstLineChars="3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基于项目预期目标的实现程度，对2021年度项目支出绩效进行自评，绩效自评平均得分为0.00分。其中：0个项目评价等级为“优”、0个项目评价等级为“良”、0个项目评价等级为“中”、0个项目评价等级为“差”。</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964" w:firstLineChars="300"/>
        <w:jc w:val="both"/>
        <w:textAlignment w:val="auto"/>
        <w:outlineLvl w:val="2"/>
        <w:rPr>
          <w:rFonts w:hint="eastAsia" w:ascii="楷体_GB2312" w:hAnsi="楷体_GB2312" w:eastAsia="楷体_GB2312" w:cs="楷体_GB2312"/>
          <w:b/>
          <w:bCs/>
          <w:color w:val="auto"/>
          <w:sz w:val="32"/>
          <w:szCs w:val="32"/>
          <w:highlight w:val="none"/>
          <w:lang w:val="en-US" w:eastAsia="zh-CN"/>
        </w:rPr>
      </w:pPr>
      <w:r>
        <w:rPr>
          <w:rFonts w:hint="eastAsia" w:ascii="楷体_GB2312" w:hAnsi="楷体_GB2312" w:eastAsia="楷体_GB2312" w:cs="楷体_GB2312"/>
          <w:b/>
          <w:bCs/>
          <w:color w:val="auto"/>
          <w:sz w:val="32"/>
          <w:szCs w:val="32"/>
          <w:highlight w:val="none"/>
          <w:lang w:val="en-US" w:eastAsia="zh-CN"/>
        </w:rPr>
        <w:t>（三）重点绩效评价结果。</w:t>
      </w:r>
    </w:p>
    <w:p>
      <w:pPr>
        <w:widowControl/>
        <w:ind w:firstLine="640" w:firstLineChars="200"/>
        <w:jc w:val="left"/>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我单位选取0个项目开展了部门重点评价，评价得分：/分，等次为“/”。许昌市建安区财政局选取我单位：0个项目开展财政重点评价。</w:t>
      </w:r>
    </w:p>
    <w:p>
      <w:pPr>
        <w:widowControl/>
        <w:ind w:firstLine="640" w:firstLineChars="200"/>
        <w:jc w:val="left"/>
        <w:rPr>
          <w:rFonts w:hint="default" w:ascii="黑体" w:hAnsi="宋体" w:eastAsia="黑体" w:cs="宋体"/>
          <w:kern w:val="0"/>
          <w:sz w:val="28"/>
          <w:szCs w:val="28"/>
          <w:highlight w:val="none"/>
          <w:lang w:val="en-US"/>
        </w:rPr>
      </w:pPr>
      <w:r>
        <w:rPr>
          <w:rFonts w:hint="eastAsia" w:ascii="仿宋_GB2312" w:hAnsi="仿宋_GB2312" w:eastAsia="仿宋_GB2312" w:cs="仿宋_GB2312"/>
          <w:color w:val="auto"/>
          <w:sz w:val="32"/>
          <w:szCs w:val="32"/>
          <w:highlight w:val="none"/>
          <w:lang w:val="en-US" w:eastAsia="zh-CN"/>
        </w:rPr>
        <w:t>2021年度我单位没有开展重点绩效评价的项目。</w:t>
      </w:r>
    </w:p>
    <w:p>
      <w:pPr>
        <w:widowControl/>
        <w:jc w:val="left"/>
        <w:rPr>
          <w:rFonts w:hint="eastAsia" w:ascii="黑体" w:hAnsi="宋体" w:eastAsia="黑体" w:cs="宋体"/>
          <w:kern w:val="0"/>
          <w:sz w:val="28"/>
          <w:szCs w:val="28"/>
          <w:highlight w:val="none"/>
        </w:rPr>
      </w:pPr>
    </w:p>
    <w:p>
      <w:pPr>
        <w:widowControl/>
        <w:jc w:val="left"/>
        <w:rPr>
          <w:rFonts w:hint="eastAsia" w:ascii="黑体" w:hAnsi="宋体" w:eastAsia="黑体" w:cs="宋体"/>
          <w:kern w:val="0"/>
          <w:sz w:val="28"/>
          <w:szCs w:val="28"/>
          <w:highlight w:val="none"/>
        </w:rPr>
      </w:pPr>
    </w:p>
    <w:p>
      <w:pPr>
        <w:widowControl/>
        <w:jc w:val="left"/>
        <w:rPr>
          <w:rFonts w:hint="eastAsia" w:ascii="黑体" w:hAnsi="宋体" w:eastAsia="黑体" w:cs="宋体"/>
          <w:kern w:val="0"/>
          <w:sz w:val="28"/>
          <w:szCs w:val="28"/>
          <w:highlight w:val="none"/>
        </w:rPr>
      </w:pPr>
    </w:p>
    <w:p>
      <w:pPr>
        <w:widowControl/>
        <w:jc w:val="left"/>
        <w:rPr>
          <w:rFonts w:hint="eastAsia" w:ascii="黑体" w:hAnsi="宋体" w:eastAsia="黑体" w:cs="宋体"/>
          <w:kern w:val="0"/>
          <w:sz w:val="28"/>
          <w:szCs w:val="28"/>
          <w:highlight w:val="none"/>
        </w:rPr>
      </w:pPr>
    </w:p>
    <w:p>
      <w:pPr>
        <w:widowControl/>
        <w:jc w:val="left"/>
        <w:rPr>
          <w:rFonts w:hint="eastAsia" w:ascii="黑体" w:hAnsi="宋体" w:eastAsia="黑体" w:cs="宋体"/>
          <w:kern w:val="0"/>
          <w:sz w:val="28"/>
          <w:szCs w:val="28"/>
          <w:highlight w:val="none"/>
        </w:rPr>
      </w:pPr>
    </w:p>
    <w:p>
      <w:pPr>
        <w:jc w:val="center"/>
        <w:outlineLvl w:val="0"/>
        <w:rPr>
          <w:rFonts w:hint="eastAsia" w:ascii="黑体" w:hAnsi="黑体" w:eastAsia="黑体" w:cs="黑体"/>
          <w:sz w:val="48"/>
          <w:szCs w:val="48"/>
          <w:highlight w:val="none"/>
        </w:rPr>
      </w:pPr>
    </w:p>
    <w:p>
      <w:pPr>
        <w:jc w:val="center"/>
        <w:outlineLvl w:val="0"/>
        <w:rPr>
          <w:rFonts w:hint="eastAsia" w:ascii="黑体" w:hAnsi="黑体" w:eastAsia="黑体" w:cs="黑体"/>
          <w:sz w:val="48"/>
          <w:szCs w:val="48"/>
          <w:highlight w:val="none"/>
        </w:rPr>
      </w:pPr>
    </w:p>
    <w:p>
      <w:pPr>
        <w:jc w:val="center"/>
        <w:outlineLvl w:val="0"/>
        <w:rPr>
          <w:rFonts w:hint="eastAsia" w:ascii="黑体" w:hAnsi="黑体" w:eastAsia="黑体" w:cs="黑体"/>
          <w:sz w:val="48"/>
          <w:szCs w:val="48"/>
          <w:highlight w:val="none"/>
        </w:rPr>
      </w:pPr>
    </w:p>
    <w:p>
      <w:pPr>
        <w:jc w:val="center"/>
        <w:outlineLvl w:val="0"/>
        <w:rPr>
          <w:rFonts w:hint="eastAsia" w:ascii="黑体" w:hAnsi="黑体" w:eastAsia="黑体" w:cs="黑体"/>
          <w:sz w:val="48"/>
          <w:szCs w:val="48"/>
          <w:highlight w:val="none"/>
        </w:rPr>
      </w:pPr>
    </w:p>
    <w:p>
      <w:pPr>
        <w:jc w:val="center"/>
        <w:outlineLvl w:val="0"/>
        <w:rPr>
          <w:rFonts w:hint="eastAsia" w:ascii="黑体" w:hAnsi="黑体" w:eastAsia="黑体" w:cs="黑体"/>
          <w:sz w:val="48"/>
          <w:szCs w:val="48"/>
          <w:highlight w:val="none"/>
        </w:rPr>
      </w:pPr>
    </w:p>
    <w:p>
      <w:pPr>
        <w:jc w:val="center"/>
        <w:outlineLvl w:val="0"/>
        <w:rPr>
          <w:rFonts w:hint="eastAsia" w:ascii="黑体" w:hAnsi="黑体" w:eastAsia="黑体" w:cs="黑体"/>
          <w:sz w:val="48"/>
          <w:szCs w:val="48"/>
          <w:highlight w:val="none"/>
        </w:rPr>
      </w:pPr>
    </w:p>
    <w:p>
      <w:pPr>
        <w:jc w:val="center"/>
        <w:outlineLvl w:val="0"/>
        <w:rPr>
          <w:rFonts w:hint="eastAsia" w:ascii="黑体" w:hAnsi="黑体" w:eastAsia="黑体" w:cs="黑体"/>
          <w:sz w:val="48"/>
          <w:szCs w:val="48"/>
          <w:highlight w:val="none"/>
        </w:rPr>
      </w:pPr>
    </w:p>
    <w:p>
      <w:pPr>
        <w:jc w:val="center"/>
        <w:outlineLvl w:val="0"/>
        <w:rPr>
          <w:rFonts w:hint="eastAsia" w:ascii="黑体" w:hAnsi="黑体" w:eastAsia="黑体" w:cs="黑体"/>
          <w:sz w:val="48"/>
          <w:szCs w:val="48"/>
          <w:highlight w:val="none"/>
        </w:rPr>
      </w:pPr>
    </w:p>
    <w:p>
      <w:pPr>
        <w:jc w:val="center"/>
        <w:outlineLvl w:val="0"/>
        <w:rPr>
          <w:rFonts w:hint="eastAsia" w:ascii="黑体" w:hAnsi="黑体" w:eastAsia="黑体" w:cs="黑体"/>
          <w:sz w:val="48"/>
          <w:szCs w:val="48"/>
          <w:highlight w:val="none"/>
        </w:rPr>
      </w:pPr>
    </w:p>
    <w:p>
      <w:pPr>
        <w:jc w:val="center"/>
        <w:outlineLvl w:val="0"/>
        <w:rPr>
          <w:rFonts w:hint="eastAsia" w:ascii="黑体" w:hAnsi="黑体" w:eastAsia="黑体" w:cs="黑体"/>
          <w:sz w:val="48"/>
          <w:szCs w:val="48"/>
          <w:highlight w:val="none"/>
        </w:rPr>
      </w:pPr>
    </w:p>
    <w:p>
      <w:pPr>
        <w:jc w:val="center"/>
        <w:outlineLvl w:val="0"/>
        <w:rPr>
          <w:rFonts w:hint="eastAsia" w:ascii="黑体" w:hAnsi="黑体" w:eastAsia="黑体" w:cs="黑体"/>
          <w:sz w:val="48"/>
          <w:szCs w:val="48"/>
          <w:highlight w:val="none"/>
        </w:rPr>
      </w:pPr>
    </w:p>
    <w:p>
      <w:pPr>
        <w:jc w:val="center"/>
        <w:outlineLvl w:val="0"/>
        <w:rPr>
          <w:rFonts w:hint="eastAsia" w:ascii="黑体" w:hAnsi="黑体" w:eastAsia="黑体" w:cs="黑体"/>
          <w:sz w:val="48"/>
          <w:szCs w:val="48"/>
          <w:highlight w:val="none"/>
        </w:rPr>
      </w:pPr>
    </w:p>
    <w:p>
      <w:pPr>
        <w:jc w:val="center"/>
        <w:outlineLvl w:val="0"/>
        <w:rPr>
          <w:rFonts w:hint="eastAsia" w:ascii="黑体" w:hAnsi="黑体" w:eastAsia="黑体" w:cs="黑体"/>
          <w:sz w:val="48"/>
          <w:szCs w:val="48"/>
          <w:highlight w:val="none"/>
        </w:rPr>
      </w:pPr>
    </w:p>
    <w:p>
      <w:pPr>
        <w:ind w:firstLine="1920" w:firstLineChars="400"/>
        <w:jc w:val="both"/>
        <w:outlineLvl w:val="0"/>
        <w:rPr>
          <w:rFonts w:hint="eastAsia" w:ascii="黑体" w:hAnsi="黑体" w:eastAsia="黑体" w:cs="黑体"/>
          <w:sz w:val="48"/>
          <w:szCs w:val="48"/>
          <w:highlight w:val="none"/>
        </w:rPr>
      </w:pPr>
      <w:r>
        <w:rPr>
          <w:rFonts w:hint="eastAsia" w:ascii="黑体" w:hAnsi="黑体" w:eastAsia="黑体" w:cs="黑体"/>
          <w:sz w:val="48"/>
          <w:szCs w:val="48"/>
          <w:highlight w:val="none"/>
        </w:rPr>
        <w:t>第四部分  名词解释</w:t>
      </w:r>
    </w:p>
    <w:p>
      <w:pPr>
        <w:jc w:val="center"/>
        <w:rPr>
          <w:rFonts w:hint="eastAsia" w:ascii="黑体" w:hAnsi="黑体" w:eastAsia="黑体" w:cs="黑体"/>
          <w:sz w:val="48"/>
          <w:szCs w:val="48"/>
          <w:highlight w:val="none"/>
        </w:rPr>
      </w:pPr>
    </w:p>
    <w:p>
      <w:pPr>
        <w:jc w:val="center"/>
        <w:outlineLvl w:val="0"/>
        <w:rPr>
          <w:rFonts w:hint="eastAsia" w:ascii="黑体" w:hAnsi="黑体" w:eastAsia="黑体" w:cs="黑体"/>
          <w:sz w:val="48"/>
          <w:szCs w:val="48"/>
          <w:highlight w:val="none"/>
        </w:rPr>
        <w:sectPr>
          <w:pgSz w:w="11906" w:h="16838"/>
          <w:pgMar w:top="1440" w:right="1531" w:bottom="1440" w:left="1587" w:header="850" w:footer="992" w:gutter="0"/>
          <w:pgNumType w:fmt="numberInDash"/>
          <w:cols w:space="720" w:num="1"/>
          <w:docGrid w:type="lines" w:linePitch="317" w:charSpace="0"/>
        </w:sectPr>
      </w:pP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一、财政拨款收入：</w:t>
      </w:r>
      <w:r>
        <w:rPr>
          <w:rFonts w:hint="eastAsia" w:ascii="仿宋_GB2312" w:hAnsi="仿宋_GB2312" w:eastAsia="仿宋_GB2312" w:cs="仿宋_GB2312"/>
          <w:color w:val="auto"/>
          <w:sz w:val="32"/>
          <w:szCs w:val="32"/>
          <w:highlight w:val="none"/>
          <w:lang w:val="en-US" w:eastAsia="zh-CN"/>
        </w:rPr>
        <w:t>单位从同级政府财政部门取得的财政预算资金。</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二、基本支出：为保障机构正常运转、完成日常工作任务而发生的人员支出和公用支出。</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三、项目支出：基本支出之外为完成特定行政任务和事业发展目标所发生的支出。</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四、“三公”经费：纳入同级财政预决算管理“三公”经费，指部门使用财政拨款安排的因公出国（境）费、公务用车购置及运行费和公务接待费。其中，因公出国（境）费反映单位公务出国（境）的国际旅费、国外城市间交通费、住宿费、伙食费、培训费、公杂费等支出；公务用车购置及运行费反映反映单位公务用车车辆购置支出（含车辆购置税）及租用费、燃料费、维修费、过路过桥费、保险费、安全奖励费用等支出；公务接待费反映单位按规定开支的各类公务接待（含外宾接待）支出。</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五、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六、工资福利支出：单位支付给在职职工和编制外长期聘用人员的各类劳动报酬，以及为上述人员缴纳的各项社会保险费等。</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七、商品和服务支出：单位购买商品和服务的支出。</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八、对个人和家庭的补助支出：单位用于对个人和家庭的补助支出。</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九、年末结转：本年度或以前年度预算安排，已执行但尚未完成或因客观条件发生变化无法按原计划实施，需延迟到以后年度按有关规定继续使用的资金。</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十、年末结余：本年度或以前年度预算安排，已执行完毕或因客观条件发生变化无法按原预算安排实施，不需要再使用或无法按原预算安排继续使用的资金。</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highlight w:val="none"/>
          <w:lang w:val="en-US" w:eastAsia="zh-CN"/>
        </w:rPr>
      </w:pPr>
      <w:bookmarkStart w:id="0" w:name="_GoBack"/>
      <w:bookmarkEnd w:id="0"/>
    </w:p>
    <w:sectPr>
      <w:pgSz w:w="11906" w:h="16838"/>
      <w:pgMar w:top="1928" w:right="1474" w:bottom="1701" w:left="1588"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- 23 -</w:t>
                          </w:r>
                          <w:r>
                            <w:rPr>
                              <w:rFonts w:hint="eastAsia"/>
                              <w:sz w:val="18"/>
                            </w:rPr>
                            <w:fldChar w:fldCharType="end"/>
                          </w:r>
                        </w:p>
                      </w:txbxContent>
                    </wps:txbx>
                    <wps:bodyPr wrap="none" lIns="0" tIns="0" rIns="0" bIns="0" upright="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PAdavrIAQAAmQMAAA4AAAAAAAAAAQAgAAAAHgEAAGRycy9lMm9Eb2Mu&#10;eG1sUEsFBgAAAAAGAAYAWQEAAFgFA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- 23 -</w:t>
                    </w:r>
                    <w:r>
                      <w:rPr>
                        <w:rFonts w:hint="eastAsia"/>
                        <w:sz w:val="18"/>
                      </w:rP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rPr>
                              <w:rFonts w:hint="eastAsia"/>
                            </w:rPr>
                          </w:pPr>
                        </w:p>
                      </w:txbxContent>
                    </wps:txbx>
                    <wps:bodyPr wrap="none" lIns="0" tIns="0" rIns="0" bIns="0" upright="0">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SB2ExcoBAACcAwAADgAAAAAAAAABACAAAAAeAQAAZHJzL2Uyb0Rv&#10;Yy54bWxQSwUGAAAAAAYABgBZAQAAWgUAAAAA&#10;">
              <v:fill on="f" focussize="0,0"/>
              <v:stroke on="f"/>
              <v:imagedata o:title=""/>
              <o:lock v:ext="edit" aspectratio="f"/>
              <v:textbox inset="0mm,0mm,0mm,0mm" style="mso-fit-shape-to-text:t;">
                <w:txbxContent>
                  <w:p>
                    <w:pPr>
                      <w:rPr>
                        <w:rFonts w:hint="eastAsia"/>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- 26 -</w:t>
                          </w:r>
                          <w:r>
                            <w:rPr>
                              <w:rFonts w:hint="eastAsia"/>
                              <w:sz w:val="18"/>
                            </w:rPr>
                            <w:fldChar w:fldCharType="end"/>
                          </w:r>
                        </w:p>
                      </w:txbxContent>
                    </wps:txbx>
                    <wps:bodyPr wrap="none" lIns="0" tIns="0" rIns="0" bIns="0" upright="0">
                      <a:spAutoFit/>
                    </wps:bodyPr>
                  </wps:wsp>
                </a:graphicData>
              </a:graphic>
            </wp:anchor>
          </w:drawing>
        </mc:Choice>
        <mc:Fallback>
          <w:pict>
            <v:shape id="文本框 7"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Ae93NyQEAAJkDAAAOAAAAAAAAAAEAIAAAAB4BAABkcnMvZTJvRG9j&#10;LnhtbFBLBQYAAAAABgAGAFkBAABZ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- 26 -</w:t>
                    </w:r>
                    <w:r>
                      <w:rPr>
                        <w:rFonts w:hint="eastAsia"/>
                        <w:sz w:val="1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7652EA"/>
    <w:multiLevelType w:val="singleLevel"/>
    <w:tmpl w:val="8B7652EA"/>
    <w:lvl w:ilvl="0" w:tentative="0">
      <w:start w:val="1"/>
      <w:numFmt w:val="chineseCounting"/>
      <w:suff w:val="space"/>
      <w:lvlText w:val="第%1部分"/>
      <w:lvlJc w:val="left"/>
      <w:rPr>
        <w:rFonts w:hint="eastAsia"/>
      </w:rPr>
    </w:lvl>
  </w:abstractNum>
  <w:abstractNum w:abstractNumId="1">
    <w:nsid w:val="989EED54"/>
    <w:multiLevelType w:val="singleLevel"/>
    <w:tmpl w:val="989EED54"/>
    <w:lvl w:ilvl="0" w:tentative="0">
      <w:start w:val="2"/>
      <w:numFmt w:val="decimal"/>
      <w:suff w:val="nothing"/>
      <w:lvlText w:val="%1、"/>
      <w:lvlJc w:val="left"/>
    </w:lvl>
  </w:abstractNum>
  <w:abstractNum w:abstractNumId="2">
    <w:nsid w:val="5971BE17"/>
    <w:multiLevelType w:val="singleLevel"/>
    <w:tmpl w:val="5971BE17"/>
    <w:lvl w:ilvl="0" w:tentative="0">
      <w:start w:val="1"/>
      <w:numFmt w:val="chineseCounting"/>
      <w:suff w:val="nothing"/>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E2NTJmZmNiYTdkYTgyYzg0YWIyMGM2MzA4ZWY1NTUifQ=="/>
  </w:docVars>
  <w:rsids>
    <w:rsidRoot w:val="000270E8"/>
    <w:rsid w:val="000270E8"/>
    <w:rsid w:val="000335B5"/>
    <w:rsid w:val="00057AFD"/>
    <w:rsid w:val="00076410"/>
    <w:rsid w:val="00081835"/>
    <w:rsid w:val="000904B3"/>
    <w:rsid w:val="000C073B"/>
    <w:rsid w:val="000C1142"/>
    <w:rsid w:val="001003F8"/>
    <w:rsid w:val="00144159"/>
    <w:rsid w:val="001718A8"/>
    <w:rsid w:val="00182842"/>
    <w:rsid w:val="00184D53"/>
    <w:rsid w:val="001905F2"/>
    <w:rsid w:val="00197592"/>
    <w:rsid w:val="001C32F0"/>
    <w:rsid w:val="001D61B1"/>
    <w:rsid w:val="001F5040"/>
    <w:rsid w:val="002006EB"/>
    <w:rsid w:val="00214AE1"/>
    <w:rsid w:val="00260D70"/>
    <w:rsid w:val="00281114"/>
    <w:rsid w:val="00282C7F"/>
    <w:rsid w:val="00287811"/>
    <w:rsid w:val="00292B4B"/>
    <w:rsid w:val="002A6352"/>
    <w:rsid w:val="002B3F94"/>
    <w:rsid w:val="002C171D"/>
    <w:rsid w:val="002E6A86"/>
    <w:rsid w:val="00304D04"/>
    <w:rsid w:val="00305B88"/>
    <w:rsid w:val="00315FEB"/>
    <w:rsid w:val="0041489C"/>
    <w:rsid w:val="0042585F"/>
    <w:rsid w:val="00445CAC"/>
    <w:rsid w:val="00472E19"/>
    <w:rsid w:val="00487869"/>
    <w:rsid w:val="004D5275"/>
    <w:rsid w:val="004F63DB"/>
    <w:rsid w:val="00505190"/>
    <w:rsid w:val="00507364"/>
    <w:rsid w:val="00546F7C"/>
    <w:rsid w:val="005A0C2F"/>
    <w:rsid w:val="005B1AE2"/>
    <w:rsid w:val="005E3397"/>
    <w:rsid w:val="00607D67"/>
    <w:rsid w:val="006228C4"/>
    <w:rsid w:val="00636C37"/>
    <w:rsid w:val="006512DD"/>
    <w:rsid w:val="00656BEF"/>
    <w:rsid w:val="00656D75"/>
    <w:rsid w:val="00657E86"/>
    <w:rsid w:val="00673EF7"/>
    <w:rsid w:val="006841E9"/>
    <w:rsid w:val="0069449E"/>
    <w:rsid w:val="006C07F0"/>
    <w:rsid w:val="006C644A"/>
    <w:rsid w:val="006C7D84"/>
    <w:rsid w:val="007148E8"/>
    <w:rsid w:val="00733DAA"/>
    <w:rsid w:val="00742BA0"/>
    <w:rsid w:val="00753545"/>
    <w:rsid w:val="00764156"/>
    <w:rsid w:val="007706D7"/>
    <w:rsid w:val="007879ED"/>
    <w:rsid w:val="007A48A3"/>
    <w:rsid w:val="007C029F"/>
    <w:rsid w:val="007C7F49"/>
    <w:rsid w:val="007D2A21"/>
    <w:rsid w:val="00843461"/>
    <w:rsid w:val="008651E7"/>
    <w:rsid w:val="00872946"/>
    <w:rsid w:val="0088023A"/>
    <w:rsid w:val="008858FB"/>
    <w:rsid w:val="00894B41"/>
    <w:rsid w:val="008B5427"/>
    <w:rsid w:val="008C7CD0"/>
    <w:rsid w:val="00903F6B"/>
    <w:rsid w:val="009173F9"/>
    <w:rsid w:val="009308CB"/>
    <w:rsid w:val="00950270"/>
    <w:rsid w:val="00962F58"/>
    <w:rsid w:val="00975A04"/>
    <w:rsid w:val="00987E71"/>
    <w:rsid w:val="009F0FBB"/>
    <w:rsid w:val="009F546E"/>
    <w:rsid w:val="00A079F0"/>
    <w:rsid w:val="00A42F43"/>
    <w:rsid w:val="00A51982"/>
    <w:rsid w:val="00A57BF7"/>
    <w:rsid w:val="00A71DC1"/>
    <w:rsid w:val="00A83D8A"/>
    <w:rsid w:val="00A93E7D"/>
    <w:rsid w:val="00AA260E"/>
    <w:rsid w:val="00AA44CB"/>
    <w:rsid w:val="00AA67CD"/>
    <w:rsid w:val="00AD6761"/>
    <w:rsid w:val="00AE2FEA"/>
    <w:rsid w:val="00AE600E"/>
    <w:rsid w:val="00B0083B"/>
    <w:rsid w:val="00B040BC"/>
    <w:rsid w:val="00B209B8"/>
    <w:rsid w:val="00B20BBC"/>
    <w:rsid w:val="00B249F3"/>
    <w:rsid w:val="00B649BE"/>
    <w:rsid w:val="00B653A5"/>
    <w:rsid w:val="00B710DD"/>
    <w:rsid w:val="00BE5A85"/>
    <w:rsid w:val="00BF4E6A"/>
    <w:rsid w:val="00BF5718"/>
    <w:rsid w:val="00C13474"/>
    <w:rsid w:val="00C3106E"/>
    <w:rsid w:val="00C60609"/>
    <w:rsid w:val="00C95CC1"/>
    <w:rsid w:val="00CA3F44"/>
    <w:rsid w:val="00CB03ED"/>
    <w:rsid w:val="00CE212D"/>
    <w:rsid w:val="00CE4B38"/>
    <w:rsid w:val="00D1321A"/>
    <w:rsid w:val="00D30ADF"/>
    <w:rsid w:val="00D33CF8"/>
    <w:rsid w:val="00D6315E"/>
    <w:rsid w:val="00D652C2"/>
    <w:rsid w:val="00D74EE2"/>
    <w:rsid w:val="00D83E19"/>
    <w:rsid w:val="00D86CAD"/>
    <w:rsid w:val="00DA00C9"/>
    <w:rsid w:val="00DB200E"/>
    <w:rsid w:val="00DB65F5"/>
    <w:rsid w:val="00E01C3E"/>
    <w:rsid w:val="00E13099"/>
    <w:rsid w:val="00E4339F"/>
    <w:rsid w:val="00E60B05"/>
    <w:rsid w:val="00E629EA"/>
    <w:rsid w:val="00E6777C"/>
    <w:rsid w:val="00EB05A3"/>
    <w:rsid w:val="00ED38B7"/>
    <w:rsid w:val="00EE051D"/>
    <w:rsid w:val="00F0131A"/>
    <w:rsid w:val="00F14C17"/>
    <w:rsid w:val="00F17041"/>
    <w:rsid w:val="00F218CF"/>
    <w:rsid w:val="00F44937"/>
    <w:rsid w:val="00F61A47"/>
    <w:rsid w:val="00F84422"/>
    <w:rsid w:val="00F95455"/>
    <w:rsid w:val="00FA574D"/>
    <w:rsid w:val="00FC2588"/>
    <w:rsid w:val="00FE7AD9"/>
    <w:rsid w:val="01322275"/>
    <w:rsid w:val="01DC6F05"/>
    <w:rsid w:val="02A3489A"/>
    <w:rsid w:val="02CA138D"/>
    <w:rsid w:val="033646FC"/>
    <w:rsid w:val="03C75F80"/>
    <w:rsid w:val="0478364D"/>
    <w:rsid w:val="053D4C0D"/>
    <w:rsid w:val="0557532E"/>
    <w:rsid w:val="0799329C"/>
    <w:rsid w:val="08397436"/>
    <w:rsid w:val="086F16A7"/>
    <w:rsid w:val="0A0F7225"/>
    <w:rsid w:val="0A2B7D82"/>
    <w:rsid w:val="0ADC40E9"/>
    <w:rsid w:val="0AE607F4"/>
    <w:rsid w:val="0B386127"/>
    <w:rsid w:val="0B451598"/>
    <w:rsid w:val="0BEC73F4"/>
    <w:rsid w:val="0C392698"/>
    <w:rsid w:val="0EC848A7"/>
    <w:rsid w:val="10BD36F6"/>
    <w:rsid w:val="11BF0649"/>
    <w:rsid w:val="123E3E08"/>
    <w:rsid w:val="133212F4"/>
    <w:rsid w:val="13D22E22"/>
    <w:rsid w:val="161C2DFF"/>
    <w:rsid w:val="16373578"/>
    <w:rsid w:val="16D3336B"/>
    <w:rsid w:val="17200028"/>
    <w:rsid w:val="17806C36"/>
    <w:rsid w:val="179D64F4"/>
    <w:rsid w:val="17A74F62"/>
    <w:rsid w:val="18A47774"/>
    <w:rsid w:val="1A8D28EB"/>
    <w:rsid w:val="1A9F2D78"/>
    <w:rsid w:val="1AC67717"/>
    <w:rsid w:val="1B2E6FD8"/>
    <w:rsid w:val="1B877D21"/>
    <w:rsid w:val="1C4319A9"/>
    <w:rsid w:val="1E443B4B"/>
    <w:rsid w:val="1E994F4A"/>
    <w:rsid w:val="1EAF0224"/>
    <w:rsid w:val="1F2230A4"/>
    <w:rsid w:val="20210932"/>
    <w:rsid w:val="202448E0"/>
    <w:rsid w:val="20F614FE"/>
    <w:rsid w:val="21302EEA"/>
    <w:rsid w:val="22376FB5"/>
    <w:rsid w:val="23E152D7"/>
    <w:rsid w:val="23EE2489"/>
    <w:rsid w:val="255D43C8"/>
    <w:rsid w:val="26714EF8"/>
    <w:rsid w:val="26876BDD"/>
    <w:rsid w:val="2714632A"/>
    <w:rsid w:val="27541E73"/>
    <w:rsid w:val="27B0539E"/>
    <w:rsid w:val="29365CF8"/>
    <w:rsid w:val="299469B3"/>
    <w:rsid w:val="2A805789"/>
    <w:rsid w:val="2ADC0D75"/>
    <w:rsid w:val="2B4A0E52"/>
    <w:rsid w:val="2C975890"/>
    <w:rsid w:val="2D917B83"/>
    <w:rsid w:val="2DEF21BB"/>
    <w:rsid w:val="2E4A2F05"/>
    <w:rsid w:val="2ECC1061"/>
    <w:rsid w:val="2FA476AD"/>
    <w:rsid w:val="303F7540"/>
    <w:rsid w:val="31DD00BF"/>
    <w:rsid w:val="3293174C"/>
    <w:rsid w:val="32BB38D4"/>
    <w:rsid w:val="32C9376D"/>
    <w:rsid w:val="33780472"/>
    <w:rsid w:val="33AF0905"/>
    <w:rsid w:val="355932F4"/>
    <w:rsid w:val="35611882"/>
    <w:rsid w:val="36746FC3"/>
    <w:rsid w:val="368763AE"/>
    <w:rsid w:val="395D59E7"/>
    <w:rsid w:val="39A93932"/>
    <w:rsid w:val="3A915562"/>
    <w:rsid w:val="3B8D4765"/>
    <w:rsid w:val="3C000DBA"/>
    <w:rsid w:val="3DC045D3"/>
    <w:rsid w:val="3E504FFB"/>
    <w:rsid w:val="3E615CD0"/>
    <w:rsid w:val="3E9C47F6"/>
    <w:rsid w:val="3F8B0112"/>
    <w:rsid w:val="3FAB3095"/>
    <w:rsid w:val="3FE45947"/>
    <w:rsid w:val="41242965"/>
    <w:rsid w:val="435671EA"/>
    <w:rsid w:val="43693981"/>
    <w:rsid w:val="440809E9"/>
    <w:rsid w:val="442407A6"/>
    <w:rsid w:val="44805EA1"/>
    <w:rsid w:val="45710696"/>
    <w:rsid w:val="46142B1B"/>
    <w:rsid w:val="47E60DD0"/>
    <w:rsid w:val="48735039"/>
    <w:rsid w:val="492C684B"/>
    <w:rsid w:val="49500594"/>
    <w:rsid w:val="49E7604E"/>
    <w:rsid w:val="4BF67CDD"/>
    <w:rsid w:val="4D173441"/>
    <w:rsid w:val="4D603DD6"/>
    <w:rsid w:val="4EBF010F"/>
    <w:rsid w:val="4F471EB0"/>
    <w:rsid w:val="5082039D"/>
    <w:rsid w:val="51331326"/>
    <w:rsid w:val="51740A7F"/>
    <w:rsid w:val="51A5541E"/>
    <w:rsid w:val="51C96242"/>
    <w:rsid w:val="53906AE1"/>
    <w:rsid w:val="54F46F60"/>
    <w:rsid w:val="55A37BEA"/>
    <w:rsid w:val="56362CD2"/>
    <w:rsid w:val="5784687B"/>
    <w:rsid w:val="57846959"/>
    <w:rsid w:val="578E6A87"/>
    <w:rsid w:val="5926624E"/>
    <w:rsid w:val="5AC2203A"/>
    <w:rsid w:val="5CBB3334"/>
    <w:rsid w:val="5D115FAF"/>
    <w:rsid w:val="62811722"/>
    <w:rsid w:val="62E75A72"/>
    <w:rsid w:val="64571880"/>
    <w:rsid w:val="649125B6"/>
    <w:rsid w:val="652F4C1A"/>
    <w:rsid w:val="65923C3E"/>
    <w:rsid w:val="666D37F1"/>
    <w:rsid w:val="67087D8F"/>
    <w:rsid w:val="671F687E"/>
    <w:rsid w:val="67F415F8"/>
    <w:rsid w:val="682640D1"/>
    <w:rsid w:val="684B73E5"/>
    <w:rsid w:val="6A047A2A"/>
    <w:rsid w:val="6EFB7548"/>
    <w:rsid w:val="6F3831C3"/>
    <w:rsid w:val="6F8B71C1"/>
    <w:rsid w:val="70753482"/>
    <w:rsid w:val="707B522A"/>
    <w:rsid w:val="717151C9"/>
    <w:rsid w:val="73194D05"/>
    <w:rsid w:val="73A83B0E"/>
    <w:rsid w:val="744D3EF9"/>
    <w:rsid w:val="74794411"/>
    <w:rsid w:val="75867C40"/>
    <w:rsid w:val="75B10B26"/>
    <w:rsid w:val="76432199"/>
    <w:rsid w:val="76F44829"/>
    <w:rsid w:val="77A267C0"/>
    <w:rsid w:val="77DE08E1"/>
    <w:rsid w:val="78882278"/>
    <w:rsid w:val="78B118A6"/>
    <w:rsid w:val="79135044"/>
    <w:rsid w:val="7A7D0F99"/>
    <w:rsid w:val="7D2F100E"/>
    <w:rsid w:val="7E4A0E7C"/>
    <w:rsid w:val="7EFD449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10">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2">
    <w:name w:val="Body Text First Indent"/>
    <w:basedOn w:val="3"/>
    <w:qFormat/>
    <w:uiPriority w:val="99"/>
    <w:pPr>
      <w:ind w:firstLine="420" w:firstLineChars="100"/>
    </w:pPr>
  </w:style>
  <w:style w:type="paragraph" w:styleId="3">
    <w:name w:val="Body Text"/>
    <w:basedOn w:val="1"/>
    <w:qFormat/>
    <w:uiPriority w:val="99"/>
    <w:pPr>
      <w:jc w:val="center"/>
    </w:pPr>
    <w:rPr>
      <w:rFonts w:eastAsia="黑体"/>
      <w:sz w:val="36"/>
      <w:szCs w:val="20"/>
    </w:rPr>
  </w:style>
  <w:style w:type="paragraph" w:styleId="4">
    <w:name w:val="Balloon Text"/>
    <w:basedOn w:val="1"/>
    <w:link w:val="13"/>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jc w:val="left"/>
    </w:pPr>
    <w:rPr>
      <w:sz w:val="18"/>
      <w:szCs w:val="18"/>
    </w:rPr>
  </w:style>
  <w:style w:type="paragraph" w:styleId="6">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
    </w:rPr>
  </w:style>
  <w:style w:type="table" w:styleId="9">
    <w:name w:val="Table Grid"/>
    <w:basedOn w:val="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FollowedHyperlink"/>
    <w:unhideWhenUsed/>
    <w:qFormat/>
    <w:uiPriority w:val="99"/>
    <w:rPr>
      <w:color w:val="800080"/>
      <w:u w:val="single"/>
    </w:rPr>
  </w:style>
  <w:style w:type="character" w:styleId="12">
    <w:name w:val="Hyperlink"/>
    <w:unhideWhenUsed/>
    <w:qFormat/>
    <w:uiPriority w:val="99"/>
    <w:rPr>
      <w:color w:val="0000FF"/>
      <w:u w:val="single"/>
    </w:rPr>
  </w:style>
  <w:style w:type="character" w:customStyle="1" w:styleId="13">
    <w:name w:val="批注框文本 Char"/>
    <w:link w:val="4"/>
    <w:semiHidden/>
    <w:qFormat/>
    <w:uiPriority w:val="99"/>
    <w:rPr>
      <w:kern w:val="2"/>
      <w:sz w:val="18"/>
      <w:szCs w:val="18"/>
    </w:rPr>
  </w:style>
  <w:style w:type="character" w:customStyle="1" w:styleId="14">
    <w:name w:val="页脚 Char"/>
    <w:link w:val="5"/>
    <w:qFormat/>
    <w:uiPriority w:val="99"/>
    <w:rPr>
      <w:kern w:val="2"/>
      <w:sz w:val="18"/>
      <w:szCs w:val="18"/>
    </w:rPr>
  </w:style>
  <w:style w:type="character" w:customStyle="1" w:styleId="15">
    <w:name w:val="页眉 Char"/>
    <w:link w:val="6"/>
    <w:qFormat/>
    <w:uiPriority w:val="99"/>
    <w:rPr>
      <w:kern w:val="2"/>
      <w:sz w:val="18"/>
      <w:szCs w:val="18"/>
    </w:rPr>
  </w:style>
  <w:style w:type="character" w:customStyle="1" w:styleId="16">
    <w:name w:val="font01"/>
    <w:qFormat/>
    <w:uiPriority w:val="0"/>
    <w:rPr>
      <w:rFonts w:hint="eastAsia" w:ascii="宋体" w:hAnsi="宋体" w:eastAsia="宋体" w:cs="宋体"/>
      <w:color w:val="000000"/>
      <w:sz w:val="22"/>
      <w:szCs w:val="22"/>
      <w:u w:val="none"/>
    </w:rPr>
  </w:style>
  <w:style w:type="character" w:customStyle="1" w:styleId="17">
    <w:name w:val="font21"/>
    <w:qFormat/>
    <w:uiPriority w:val="0"/>
    <w:rPr>
      <w:rFonts w:hint="eastAsia" w:ascii="宋体" w:hAnsi="宋体" w:eastAsia="宋体" w:cs="宋体"/>
      <w:color w:val="000000"/>
      <w:sz w:val="22"/>
      <w:szCs w:val="22"/>
      <w:u w:val="none"/>
    </w:rPr>
  </w:style>
  <w:style w:type="character" w:customStyle="1" w:styleId="18">
    <w:name w:val="font51"/>
    <w:qFormat/>
    <w:uiPriority w:val="0"/>
    <w:rPr>
      <w:rFonts w:hint="eastAsia" w:ascii="宋体" w:hAnsi="宋体" w:eastAsia="宋体" w:cs="宋体"/>
      <w:color w:val="000000"/>
      <w:sz w:val="24"/>
      <w:szCs w:val="24"/>
      <w:u w:val="none"/>
    </w:rPr>
  </w:style>
  <w:style w:type="character" w:customStyle="1" w:styleId="19">
    <w:name w:val="font11"/>
    <w:qFormat/>
    <w:uiPriority w:val="0"/>
    <w:rPr>
      <w:rFonts w:hint="eastAsia" w:ascii="宋体" w:hAnsi="宋体" w:eastAsia="宋体" w:cs="宋体"/>
      <w:color w:val="000000"/>
      <w:sz w:val="20"/>
      <w:szCs w:val="20"/>
      <w:u w:val="none"/>
    </w:rPr>
  </w:style>
  <w:style w:type="character" w:customStyle="1" w:styleId="20">
    <w:name w:val="font4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MS User</Company>
  <Pages>28</Pages>
  <Words>6391</Words>
  <Characters>7549</Characters>
  <Lines>60</Lines>
  <Paragraphs>16</Paragraphs>
  <TotalTime>0</TotalTime>
  <ScaleCrop>false</ScaleCrop>
  <LinksUpToDate>false</LinksUpToDate>
  <CharactersWithSpaces>7734</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2007-11-29T03:41:00Z</dcterms:created>
  <dc:creator>管理者</dc:creator>
  <cp:lastModifiedBy>Administrator</cp:lastModifiedBy>
  <cp:lastPrinted>2018-07-24T10:50:00Z</cp:lastPrinted>
  <dcterms:modified xsi:type="dcterms:W3CDTF">2022-09-15T08:50:27Z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982F1DB1198141F7B15904A8E59E249F</vt:lpwstr>
  </property>
</Properties>
</file>