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20</w:t>
      </w:r>
      <w:r>
        <w:rPr>
          <w:rFonts w:ascii="黑体" w:hAnsi="黑体" w:eastAsia="黑体" w:cs="黑体"/>
          <w:sz w:val="52"/>
          <w:szCs w:val="52"/>
          <w:highlight w:val="none"/>
        </w:rPr>
        <w:t>21</w:t>
      </w:r>
      <w:r>
        <w:rPr>
          <w:rFonts w:hint="eastAsia" w:ascii="黑体" w:hAnsi="黑体" w:eastAsia="黑体" w:cs="黑体"/>
          <w:sz w:val="52"/>
          <w:szCs w:val="52"/>
          <w:highlight w:val="none"/>
        </w:rPr>
        <w:t>年度</w:t>
      </w: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lang w:eastAsia="zh-CN"/>
        </w:rPr>
        <w:t>许昌市建安区市政管护所</w:t>
      </w:r>
      <w:r>
        <w:rPr>
          <w:rFonts w:hint="eastAsia" w:ascii="黑体" w:hAnsi="黑体" w:eastAsia="黑体" w:cs="黑体"/>
          <w:sz w:val="52"/>
          <w:szCs w:val="52"/>
          <w:highlight w:val="none"/>
        </w:rPr>
        <w:t>部门决算</w:t>
      </w:r>
    </w:p>
    <w:p>
      <w:pPr>
        <w:jc w:val="center"/>
        <w:rPr>
          <w:rFonts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32"/>
          <w:szCs w:val="32"/>
          <w:highlight w:val="none"/>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32"/>
          <w:szCs w:val="32"/>
          <w:highlight w:val="none"/>
        </w:rPr>
        <w:t>二〇二二年</w:t>
      </w: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月</w:t>
      </w:r>
    </w:p>
    <w:p>
      <w:pPr>
        <w:jc w:val="center"/>
        <w:rPr>
          <w:rFonts w:ascii="黑体" w:hAnsi="黑体" w:eastAsia="黑体" w:cs="黑体"/>
          <w:sz w:val="36"/>
          <w:szCs w:val="36"/>
          <w:highlight w:val="none"/>
        </w:rPr>
      </w:pPr>
      <w:r>
        <w:rPr>
          <w:rFonts w:hint="eastAsia" w:ascii="黑体" w:hAnsi="黑体" w:eastAsia="黑体" w:cs="黑体"/>
          <w:sz w:val="36"/>
          <w:szCs w:val="36"/>
          <w:highlight w:val="none"/>
        </w:rPr>
        <w:t>目　　录</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第一部分　</w:t>
      </w:r>
      <w:r>
        <w:rPr>
          <w:rFonts w:hint="eastAsia" w:ascii="黑体" w:hAnsi="黑体" w:eastAsia="黑体" w:cs="黑体"/>
          <w:sz w:val="32"/>
          <w:szCs w:val="32"/>
          <w:highlight w:val="none"/>
          <w:lang w:eastAsia="zh-CN"/>
        </w:rPr>
        <w:t>许昌市建安区市政管护所</w:t>
      </w:r>
      <w:r>
        <w:rPr>
          <w:rFonts w:hint="eastAsia" w:ascii="黑体" w:hAnsi="黑体" w:eastAsia="黑体" w:cs="黑体"/>
          <w:sz w:val="32"/>
          <w:szCs w:val="32"/>
          <w:highlight w:val="none"/>
        </w:rPr>
        <w:t>概况</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部门职责</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机构设置</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第二部分  2021年度部门决算表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一、收入支出决算总表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二、收入决算表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三、支出决算表</w:t>
      </w:r>
    </w:p>
    <w:p>
      <w:pPr>
        <w:ind w:firstLine="640" w:firstLineChars="200"/>
        <w:jc w:val="left"/>
        <w:rPr>
          <w:rFonts w:ascii="宋体" w:hAnsi="宋体" w:cs="黑体"/>
          <w:sz w:val="32"/>
          <w:szCs w:val="32"/>
          <w:highlight w:val="none"/>
        </w:rPr>
      </w:pPr>
      <w:r>
        <w:rPr>
          <w:rFonts w:hint="eastAsia" w:ascii="宋体" w:hAnsi="宋体" w:cs="黑体"/>
          <w:sz w:val="32"/>
          <w:szCs w:val="32"/>
          <w:highlight w:val="none"/>
        </w:rPr>
        <w:t>四、财政拨款收入支出决算总表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五、一般公共预算财政拨款支出决算表</w:t>
      </w:r>
    </w:p>
    <w:p>
      <w:pPr>
        <w:ind w:firstLine="640" w:firstLineChars="200"/>
        <w:jc w:val="left"/>
        <w:rPr>
          <w:rFonts w:ascii="宋体" w:hAnsi="宋体" w:cs="黑体"/>
          <w:sz w:val="32"/>
          <w:szCs w:val="32"/>
          <w:highlight w:val="none"/>
        </w:rPr>
      </w:pPr>
      <w:r>
        <w:rPr>
          <w:rFonts w:hint="eastAsia" w:ascii="宋体" w:hAnsi="宋体" w:cs="黑体"/>
          <w:sz w:val="32"/>
          <w:szCs w:val="32"/>
          <w:highlight w:val="none"/>
        </w:rPr>
        <w:t>六、一般公共预算财政拨款基本支出决算明细表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七、一般公共预算财政拨款“三公”经费支出决算表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八、政府性基金预算财政拨款收入支出决算表</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第三部分　</w:t>
      </w:r>
      <w:r>
        <w:rPr>
          <w:rFonts w:ascii="黑体" w:hAnsi="黑体" w:eastAsia="黑体" w:cs="黑体"/>
          <w:sz w:val="32"/>
          <w:szCs w:val="32"/>
          <w:highlight w:val="none"/>
        </w:rPr>
        <w:t>2021</w:t>
      </w:r>
      <w:r>
        <w:rPr>
          <w:rFonts w:hint="eastAsia" w:ascii="黑体" w:hAnsi="黑体" w:eastAsia="黑体" w:cs="黑体"/>
          <w:sz w:val="32"/>
          <w:szCs w:val="32"/>
          <w:highlight w:val="none"/>
        </w:rPr>
        <w:t>年度</w:t>
      </w:r>
      <w:r>
        <w:rPr>
          <w:rFonts w:ascii="黑体" w:hAnsi="黑体" w:eastAsia="黑体" w:cs="黑体"/>
          <w:sz w:val="32"/>
          <w:szCs w:val="32"/>
          <w:highlight w:val="none"/>
        </w:rPr>
        <w:t>部门</w:t>
      </w:r>
      <w:r>
        <w:rPr>
          <w:rFonts w:hint="eastAsia" w:ascii="黑体" w:hAnsi="黑体" w:eastAsia="黑体" w:cs="黑体"/>
          <w:sz w:val="32"/>
          <w:szCs w:val="32"/>
          <w:highlight w:val="none"/>
        </w:rPr>
        <w:t>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一、收入支出决算总体情况说明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二、收入决算情况说明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三、支出决算情况说明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四、财政拨款收入支出决算总体情况说明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五、一般公共预算财政拨款支出决算情况说明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六、一般公共预算财政拨款基本支出决算情况说明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七、一般公共预算财政拨款“三公”经费支出决算情况说明</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八、政府性基金预算财政拨款支出决算情况说明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九、机关运行经费支出情况说明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十、政府采购支出情况说明</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十一、国有资产占用情况说明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十二、预算绩效情况说明</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第四部分　　名词解释</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both"/>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numPr>
          <w:ilvl w:val="0"/>
          <w:numId w:val="2"/>
        </w:numPr>
        <w:jc w:val="center"/>
        <w:outlineLvl w:val="0"/>
        <w:rPr>
          <w:rFonts w:hint="eastAsia" w:ascii="黑体" w:hAnsi="黑体" w:eastAsia="黑体" w:cs="黑体"/>
          <w:sz w:val="48"/>
          <w:szCs w:val="48"/>
          <w:highlight w:val="none"/>
          <w:lang w:eastAsia="zh-CN"/>
        </w:rPr>
      </w:pPr>
      <w:r>
        <w:rPr>
          <w:rFonts w:hint="eastAsia" w:ascii="黑体" w:hAnsi="黑体" w:eastAsia="黑体" w:cs="黑体"/>
          <w:sz w:val="48"/>
          <w:szCs w:val="48"/>
          <w:highlight w:val="none"/>
        </w:rPr>
        <w:t xml:space="preserve"> </w:t>
      </w:r>
      <w:r>
        <w:rPr>
          <w:rFonts w:hint="eastAsia" w:ascii="黑体" w:hAnsi="黑体" w:eastAsia="黑体" w:cs="黑体"/>
          <w:sz w:val="48"/>
          <w:szCs w:val="48"/>
          <w:highlight w:val="none"/>
          <w:lang w:eastAsia="zh-CN"/>
        </w:rPr>
        <w:t>许昌市建安区市政管护所</w:t>
      </w:r>
    </w:p>
    <w:p>
      <w:pPr>
        <w:widowControl/>
        <w:numPr>
          <w:ilvl w:val="0"/>
          <w:numId w:val="0"/>
        </w:numPr>
        <w:ind w:firstLine="4800" w:firstLineChars="1000"/>
        <w:jc w:val="both"/>
        <w:outlineLvl w:val="0"/>
        <w:rPr>
          <w:rFonts w:hint="eastAsia" w:ascii="黑体" w:hAnsi="宋体" w:eastAsia="黑体" w:cs="宋体"/>
          <w:kern w:val="0"/>
          <w:sz w:val="28"/>
          <w:szCs w:val="28"/>
          <w:highlight w:val="none"/>
        </w:rPr>
      </w:pPr>
      <w:r>
        <w:rPr>
          <w:rFonts w:hint="eastAsia" w:ascii="黑体" w:hAnsi="黑体" w:eastAsia="黑体" w:cs="黑体"/>
          <w:sz w:val="48"/>
          <w:szCs w:val="48"/>
          <w:highlight w:val="none"/>
        </w:rPr>
        <w:t>概况</w:t>
      </w: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一、部门</w:t>
      </w:r>
      <w:r>
        <w:rPr>
          <w:rFonts w:hint="eastAsia" w:ascii="黑体" w:hAnsi="黑体" w:eastAsia="黑体" w:cs="黑体"/>
          <w:bCs/>
          <w:sz w:val="32"/>
          <w:szCs w:val="32"/>
          <w:highlight w:val="none"/>
        </w:rPr>
        <w:t>职责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964" w:firstLineChars="300"/>
        <w:jc w:val="left"/>
        <w:rPr>
          <w:rFonts w:hint="eastAsia" w:ascii="仿宋_GB2312" w:hAnsi="仿宋_GB2312" w:eastAsia="仿宋_GB2312" w:cs="仿宋_GB2312"/>
          <w:sz w:val="32"/>
          <w:szCs w:val="32"/>
          <w:highlight w:val="none"/>
        </w:rPr>
      </w:pPr>
      <w:r>
        <w:rPr>
          <w:rFonts w:hint="eastAsia" w:ascii="仿宋_GB2312" w:hAnsi="仿宋" w:eastAsia="仿宋_GB2312" w:cs="仿宋"/>
          <w:b/>
          <w:bCs/>
          <w:sz w:val="32"/>
          <w:szCs w:val="32"/>
          <w:highlight w:val="none"/>
          <w:lang w:val="en-US" w:eastAsia="zh-CN"/>
        </w:rPr>
        <w:t>1、主要职责</w:t>
      </w:r>
    </w:p>
    <w:p>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负责全区城市的排水、污水设施的管理与养护工作。燃气、热力、管网的监督管理工作。城市、道路、桥梁、隧道设施维护管理。提供市政设施管理维护保障，市政设施等市政公用行业的管理工作。依据中华人民共和国国务院令【第198号】《城市道路管理条例》。</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0" w:leftChars="0" w:right="0" w:rightChars="0" w:firstLine="321" w:firstLineChars="100"/>
        <w:jc w:val="left"/>
        <w:rPr>
          <w:rFonts w:hint="eastAsia" w:ascii="仿宋_GB2312" w:hAnsi="仿宋_GB2312" w:eastAsia="仿宋_GB2312" w:cs="仿宋_GB2312"/>
          <w:b/>
          <w:bCs/>
          <w:i w:val="0"/>
          <w:iCs w:val="0"/>
          <w:caps w:val="0"/>
          <w:color w:val="000000"/>
          <w:spacing w:val="0"/>
          <w:sz w:val="32"/>
          <w:szCs w:val="32"/>
          <w:highlight w:val="none"/>
          <w:lang w:val="en-US" w:eastAsia="zh-CN"/>
        </w:rPr>
      </w:pPr>
      <w:r>
        <w:rPr>
          <w:rFonts w:hint="eastAsia" w:ascii="仿宋_GB2312" w:hAnsi="仿宋_GB2312" w:eastAsia="仿宋_GB2312" w:cs="仿宋_GB2312"/>
          <w:b/>
          <w:bCs/>
          <w:i w:val="0"/>
          <w:iCs w:val="0"/>
          <w:caps w:val="0"/>
          <w:color w:val="000000"/>
          <w:spacing w:val="0"/>
          <w:sz w:val="32"/>
          <w:szCs w:val="32"/>
          <w:highlight w:val="none"/>
          <w:lang w:val="en-US" w:eastAsia="zh-CN"/>
        </w:rPr>
        <w:t>2、人员构成情况</w:t>
      </w:r>
    </w:p>
    <w:p>
      <w:pPr>
        <w:adjustRightInd w:val="0"/>
        <w:snapToGrid w:val="0"/>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许昌市建安区</w:t>
      </w:r>
      <w:r>
        <w:rPr>
          <w:rFonts w:hint="eastAsia" w:ascii="仿宋_GB2312" w:hAnsi="仿宋_GB2312" w:eastAsia="仿宋_GB2312" w:cs="仿宋_GB2312"/>
          <w:sz w:val="32"/>
          <w:szCs w:val="32"/>
          <w:highlight w:val="none"/>
          <w:lang w:eastAsia="zh-CN"/>
        </w:rPr>
        <w:t>市政管护所</w:t>
      </w:r>
      <w:r>
        <w:rPr>
          <w:rFonts w:hint="eastAsia" w:ascii="仿宋_GB2312" w:hAnsi="仿宋_GB2312" w:eastAsia="仿宋_GB2312" w:cs="仿宋_GB2312"/>
          <w:sz w:val="32"/>
          <w:szCs w:val="32"/>
          <w:highlight w:val="none"/>
        </w:rPr>
        <w:t>共有编制</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名，其中：行政编制0名（公务员编制0名，工勤编制0名），事业编制</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名（管理岗位</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名，专业技术岗位0名，工勤岗位0名）。现有在职人数</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人，离退休人数</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w:t>
      </w:r>
    </w:p>
    <w:p>
      <w:pPr>
        <w:widowControl/>
        <w:ind w:firstLine="640" w:firstLineChars="200"/>
        <w:jc w:val="left"/>
        <w:outlineLvl w:val="1"/>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二、机构设置</w:t>
      </w:r>
    </w:p>
    <w:p>
      <w:pPr>
        <w:widowControl/>
        <w:ind w:firstLine="640" w:firstLineChars="200"/>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许昌市建安区市政管护所无内设机构。</w:t>
      </w:r>
    </w:p>
    <w:p>
      <w:pPr>
        <w:widowControl/>
        <w:ind w:firstLine="640" w:firstLineChars="200"/>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从决算单位构成看，许昌市建安区市政管护所部门决算包括本级决算。</w:t>
      </w:r>
    </w:p>
    <w:p>
      <w:pPr>
        <w:widowControl/>
        <w:jc w:val="left"/>
        <w:rPr>
          <w:rFonts w:hint="eastAsia" w:ascii="仿宋_GB2312" w:hAnsi="仿宋_GB2312" w:eastAsia="仿宋_GB2312" w:cs="仿宋_GB2312"/>
          <w:kern w:val="0"/>
          <w:sz w:val="32"/>
          <w:szCs w:val="32"/>
          <w:highlight w:val="none"/>
        </w:rPr>
      </w:pPr>
    </w:p>
    <w:p>
      <w:pPr>
        <w:widowControl/>
        <w:jc w:val="left"/>
        <w:rPr>
          <w:rFonts w:hint="eastAsia" w:ascii="仿宋_GB2312" w:hAnsi="仿宋_GB2312" w:eastAsia="仿宋_GB2312" w:cs="仿宋_GB2312"/>
          <w:kern w:val="0"/>
          <w:sz w:val="32"/>
          <w:szCs w:val="32"/>
          <w:highlight w:val="none"/>
        </w:rPr>
      </w:pPr>
    </w:p>
    <w:p>
      <w:pPr>
        <w:widowControl/>
        <w:ind w:firstLine="640" w:firstLineChars="200"/>
        <w:jc w:val="left"/>
        <w:rPr>
          <w:rFonts w:hint="eastAsia" w:ascii="仿宋_GB2312" w:hAnsi="仿宋_GB2312" w:eastAsia="仿宋_GB2312" w:cs="仿宋_GB2312"/>
          <w:kern w:val="0"/>
          <w:sz w:val="32"/>
          <w:szCs w:val="32"/>
          <w:highlight w:val="none"/>
        </w:rPr>
      </w:pPr>
    </w:p>
    <w:p>
      <w:pPr>
        <w:widowControl/>
        <w:jc w:val="left"/>
        <w:rPr>
          <w:rFonts w:hint="eastAsia" w:ascii="黑体" w:hAnsi="宋体" w:eastAsia="黑体" w:cs="宋体"/>
          <w:kern w:val="0"/>
          <w:sz w:val="28"/>
          <w:szCs w:val="28"/>
          <w:highlight w:val="none"/>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第二部分  2021年度部门决算表</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sectPr>
          <w:pgSz w:w="11906" w:h="16838"/>
          <w:pgMar w:top="1440" w:right="1800" w:bottom="1440" w:left="180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8"/>
        <w:gridCol w:w="839"/>
        <w:gridCol w:w="1125"/>
        <w:gridCol w:w="4507"/>
        <w:gridCol w:w="839"/>
        <w:gridCol w:w="20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6"/>
            <w:tcBorders>
              <w:top w:val="nil"/>
              <w:left w:val="nil"/>
              <w:bottom w:val="nil"/>
              <w:right w:val="nil"/>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689" w:type="pct"/>
            <w:tcBorders>
              <w:top w:val="nil"/>
              <w:left w:val="nil"/>
              <w:bottom w:val="nil"/>
              <w:right w:val="nil"/>
            </w:tcBorders>
            <w:shd w:val="clear" w:color="auto" w:fill="FFFFFF"/>
            <w:noWrap/>
            <w:vAlign w:val="bottom"/>
          </w:tcPr>
          <w:p>
            <w:pPr>
              <w:rPr>
                <w:rFonts w:hint="eastAsia" w:ascii="Arial" w:hAnsi="Arial" w:cs="Arial"/>
                <w:i w:val="0"/>
                <w:iCs w:val="0"/>
                <w:color w:val="000000"/>
                <w:sz w:val="20"/>
                <w:szCs w:val="20"/>
                <w:highlight w:val="none"/>
                <w:u w:val="none"/>
              </w:rPr>
            </w:pPr>
          </w:p>
        </w:tc>
        <w:tc>
          <w:tcPr>
            <w:tcW w:w="29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39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59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29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30"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689" w:type="pct"/>
            <w:tcBorders>
              <w:top w:val="nil"/>
              <w:left w:val="nil"/>
              <w:bottom w:val="nil"/>
              <w:right w:val="nil"/>
            </w:tcBorders>
            <w:shd w:val="clear" w:color="auto" w:fill="FFFFFF"/>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29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39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59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29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30"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82" w:type="pct"/>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2617" w:type="pct"/>
            <w:gridSpan w:val="3"/>
            <w:tcBorders>
              <w:top w:val="single" w:color="000000" w:sz="4" w:space="0"/>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3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73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96" w:type="pct"/>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3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96" w:type="pct"/>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73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9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73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center"/>
              <w:rPr>
                <w:rFonts w:hint="eastAsia" w:ascii="宋体" w:hAnsi="宋体" w:eastAsia="宋体" w:cs="宋体"/>
                <w:b/>
                <w:bCs/>
                <w:i w:val="0"/>
                <w:iCs w:val="0"/>
                <w:color w:val="000000"/>
                <w:sz w:val="20"/>
                <w:szCs w:val="20"/>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0"/>
                <w:szCs w:val="20"/>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0"/>
                <w:szCs w:val="20"/>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39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73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39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w:t>
            </w: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39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590" w:type="pct"/>
            <w:tcBorders>
              <w:top w:val="nil"/>
              <w:left w:val="nil"/>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730"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89"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296" w:type="pct"/>
            <w:tcBorders>
              <w:top w:val="nil"/>
              <w:left w:val="nil"/>
              <w:bottom w:val="single" w:color="000000" w:sz="8"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39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1590"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296"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73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2636"/>
        <w:gridCol w:w="1084"/>
        <w:gridCol w:w="1264"/>
        <w:gridCol w:w="1028"/>
        <w:gridCol w:w="1028"/>
        <w:gridCol w:w="1028"/>
        <w:gridCol w:w="1029"/>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54" w:type="pct"/>
            <w:tcBorders>
              <w:top w:val="nil"/>
              <w:left w:val="nil"/>
              <w:bottom w:val="nil"/>
              <w:right w:val="nil"/>
            </w:tcBorders>
            <w:shd w:val="clear" w:color="auto" w:fill="FFFFFF"/>
            <w:noWrap/>
            <w:vAlign w:val="bottom"/>
          </w:tcPr>
          <w:p>
            <w:pPr>
              <w:rPr>
                <w:rFonts w:hint="eastAsia" w:ascii="Arial" w:hAnsi="Arial" w:cs="Arial"/>
                <w:i w:val="0"/>
                <w:iCs w:val="0"/>
                <w:color w:val="000000"/>
                <w:sz w:val="20"/>
                <w:szCs w:val="20"/>
                <w:highlight w:val="none"/>
                <w:u w:val="none"/>
              </w:rPr>
            </w:pP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4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12"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54" w:type="pct"/>
            <w:tcBorders>
              <w:top w:val="nil"/>
              <w:left w:val="nil"/>
              <w:bottom w:val="nil"/>
              <w:right w:val="nil"/>
            </w:tcBorders>
            <w:shd w:val="clear" w:color="auto" w:fill="FFFFFF"/>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4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1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2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12"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58" w:type="pct"/>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10"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510"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427"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427"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427"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427"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512"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vMerge w:val="restart"/>
            <w:tcBorders>
              <w:top w:val="nil"/>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747" w:type="pct"/>
            <w:vMerge w:val="restar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1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12"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747" w:type="pct"/>
            <w:vMerge w:val="continue"/>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12"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747" w:type="pct"/>
            <w:vMerge w:val="continue"/>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1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27"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12"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58" w:type="pct"/>
            <w:gridSpan w:val="4"/>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10"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10"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27"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27"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27"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427"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512"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58" w:type="pct"/>
            <w:gridSpan w:val="4"/>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161.19</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161.19</w:t>
            </w: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7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7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2120107</w:t>
            </w:r>
          </w:p>
        </w:tc>
        <w:tc>
          <w:tcPr>
            <w:tcW w:w="7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市政公用行业市场监管</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51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47"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47"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47"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47"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1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47"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2636"/>
        <w:gridCol w:w="1438"/>
        <w:gridCol w:w="1519"/>
        <w:gridCol w:w="1168"/>
        <w:gridCol w:w="1168"/>
        <w:gridCol w:w="1168"/>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55" w:type="pct"/>
            <w:tcBorders>
              <w:top w:val="nil"/>
              <w:left w:val="nil"/>
              <w:bottom w:val="nil"/>
              <w:right w:val="nil"/>
            </w:tcBorders>
            <w:shd w:val="clear" w:color="auto" w:fill="FFFFFF"/>
            <w:noWrap/>
            <w:vAlign w:val="bottom"/>
          </w:tcPr>
          <w:p>
            <w:pPr>
              <w:rPr>
                <w:rFonts w:hint="eastAsia" w:ascii="Arial" w:hAnsi="Arial" w:cs="Arial"/>
                <w:i w:val="0"/>
                <w:iCs w:val="0"/>
                <w:color w:val="000000"/>
                <w:sz w:val="20"/>
                <w:szCs w:val="20"/>
                <w:highlight w:val="none"/>
                <w:u w:val="none"/>
              </w:rPr>
            </w:pP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835"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4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4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4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72"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55" w:type="pct"/>
            <w:tcBorders>
              <w:top w:val="nil"/>
              <w:left w:val="nil"/>
              <w:bottom w:val="nil"/>
              <w:right w:val="nil"/>
            </w:tcBorders>
            <w:shd w:val="clear" w:color="auto" w:fill="FFFFFF"/>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835"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4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4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46"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572"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47" w:type="pct"/>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70"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570"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446"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446"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446"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572" w:type="pct"/>
            <w:vMerge w:val="restart"/>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12" w:type="pct"/>
            <w:gridSpan w:val="3"/>
            <w:vMerge w:val="restart"/>
            <w:tcBorders>
              <w:top w:val="nil"/>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835" w:type="pct"/>
            <w:vMerge w:val="restar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7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12" w:type="pct"/>
            <w:gridSpan w:val="3"/>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835" w:type="pct"/>
            <w:vMerge w:val="continue"/>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12" w:type="pct"/>
            <w:gridSpan w:val="3"/>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835" w:type="pct"/>
            <w:vMerge w:val="continue"/>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46"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47" w:type="pct"/>
            <w:gridSpan w:val="4"/>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70"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70"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46"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46"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46"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572" w:type="pc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47" w:type="pct"/>
            <w:gridSpan w:val="4"/>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161.30</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161.30</w:t>
            </w: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83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83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2120107</w:t>
            </w:r>
          </w:p>
        </w:tc>
        <w:tc>
          <w:tcPr>
            <w:tcW w:w="83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市政公用行业市场监管</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5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12"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4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59"/>
        <w:gridCol w:w="526"/>
        <w:gridCol w:w="1323"/>
        <w:gridCol w:w="3685"/>
        <w:gridCol w:w="526"/>
        <w:gridCol w:w="908"/>
        <w:gridCol w:w="1321"/>
        <w:gridCol w:w="1102"/>
        <w:gridCol w:w="1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35" w:type="pct"/>
            <w:tcBorders>
              <w:top w:val="nil"/>
              <w:left w:val="nil"/>
              <w:bottom w:val="nil"/>
              <w:right w:val="nil"/>
            </w:tcBorders>
            <w:shd w:val="clear" w:color="auto" w:fill="FFFFFF"/>
            <w:noWrap/>
            <w:vAlign w:val="bottom"/>
          </w:tcPr>
          <w:p>
            <w:pPr>
              <w:rPr>
                <w:rFonts w:hint="eastAsia" w:ascii="Arial" w:hAnsi="Arial" w:cs="Arial"/>
                <w:i w:val="0"/>
                <w:iCs w:val="0"/>
                <w:color w:val="000000"/>
                <w:sz w:val="20"/>
                <w:szCs w:val="20"/>
                <w:highlight w:val="none"/>
                <w:u w:val="none"/>
              </w:rPr>
            </w:pPr>
          </w:p>
        </w:tc>
        <w:tc>
          <w:tcPr>
            <w:tcW w:w="179"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5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284"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79"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313"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5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3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613"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35" w:type="pct"/>
            <w:tcBorders>
              <w:top w:val="nil"/>
              <w:left w:val="nil"/>
              <w:bottom w:val="nil"/>
              <w:right w:val="nil"/>
            </w:tcBorders>
            <w:shd w:val="clear" w:color="auto" w:fill="FFFFFF"/>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179"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5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284"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79"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313"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457"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378"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613"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72" w:type="pct"/>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3227" w:type="pct"/>
            <w:gridSpan w:val="6"/>
            <w:tcBorders>
              <w:top w:val="single" w:color="000000" w:sz="4" w:space="0"/>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1135" w:type="pct"/>
            <w:vMerge w:val="restart"/>
            <w:tcBorders>
              <w:top w:val="nil"/>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79"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457"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1284"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79"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313" w:type="pct"/>
            <w:vMerge w:val="restar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57"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378"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613"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135" w:type="pct"/>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179"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457"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1284"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179"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313" w:type="pct"/>
            <w:vMerge w:val="continue"/>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457"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378"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613"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79" w:type="pct"/>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79" w:type="pct"/>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313"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57"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78"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613"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三、国有资本经营财政拨款</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31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center"/>
              <w:rPr>
                <w:rFonts w:hint="eastAsia" w:ascii="宋体" w:hAnsi="宋体" w:eastAsia="宋体" w:cs="宋体"/>
                <w:b/>
                <w:bCs/>
                <w:i w:val="0"/>
                <w:iCs w:val="0"/>
                <w:color w:val="000000"/>
                <w:sz w:val="20"/>
                <w:szCs w:val="20"/>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0"/>
                <w:szCs w:val="20"/>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0"/>
                <w:szCs w:val="20"/>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161.19</w:t>
            </w: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31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w:t>
            </w: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w:t>
            </w:r>
          </w:p>
        </w:tc>
        <w:tc>
          <w:tcPr>
            <w:tcW w:w="1284" w:type="pct"/>
            <w:tcBorders>
              <w:top w:val="nil"/>
              <w:left w:val="nil"/>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1284" w:type="pct"/>
            <w:tcBorders>
              <w:top w:val="nil"/>
              <w:left w:val="nil"/>
              <w:bottom w:val="single" w:color="000000" w:sz="4" w:space="0"/>
              <w:right w:val="single" w:color="000000" w:sz="4" w:space="0"/>
            </w:tcBorders>
            <w:shd w:val="clear" w:color="FFFFFF" w:fill="FFFFFF"/>
            <w:noWrap/>
            <w:vAlign w:val="center"/>
          </w:tcPr>
          <w:p>
            <w:pPr>
              <w:jc w:val="left"/>
              <w:rPr>
                <w:rFonts w:hint="eastAsia" w:ascii="宋体" w:hAnsi="宋体" w:eastAsia="宋体" w:cs="宋体"/>
                <w:i w:val="0"/>
                <w:iCs w:val="0"/>
                <w:color w:val="000000"/>
                <w:sz w:val="22"/>
                <w:szCs w:val="22"/>
                <w:highlight w:val="none"/>
                <w:u w:val="none"/>
              </w:rPr>
            </w:pP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3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45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35" w:type="pct"/>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79" w:type="pct"/>
            <w:tcBorders>
              <w:top w:val="nil"/>
              <w:left w:val="nil"/>
              <w:bottom w:val="single" w:color="000000" w:sz="8"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128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79"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31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45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6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86" w:type="pct"/>
            <w:gridSpan w:val="8"/>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61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0"/>
                <w:szCs w:val="20"/>
                <w:highlight w:val="none"/>
                <w:u w:val="none"/>
              </w:rPr>
            </w:pP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60"/>
        <w:gridCol w:w="266"/>
        <w:gridCol w:w="272"/>
        <w:gridCol w:w="3200"/>
        <w:gridCol w:w="2050"/>
        <w:gridCol w:w="1987"/>
        <w:gridCol w:w="27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291" w:type="pct"/>
            <w:tcBorders>
              <w:top w:val="nil"/>
              <w:left w:val="nil"/>
              <w:bottom w:val="nil"/>
              <w:right w:val="nil"/>
            </w:tcBorders>
            <w:shd w:val="clear" w:color="auto" w:fill="FFFFFF"/>
            <w:noWrap/>
            <w:vAlign w:val="bottom"/>
          </w:tcPr>
          <w:p>
            <w:pPr>
              <w:rPr>
                <w:rFonts w:hint="eastAsia" w:ascii="Arial" w:hAnsi="Arial" w:cs="Arial"/>
                <w:i w:val="0"/>
                <w:iCs w:val="0"/>
                <w:color w:val="000000"/>
                <w:sz w:val="20"/>
                <w:szCs w:val="20"/>
                <w:highlight w:val="none"/>
                <w:u w:val="none"/>
              </w:rPr>
            </w:pPr>
          </w:p>
        </w:tc>
        <w:tc>
          <w:tcPr>
            <w:tcW w:w="94"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129"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23"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01"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964"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291" w:type="pct"/>
            <w:tcBorders>
              <w:top w:val="nil"/>
              <w:left w:val="nil"/>
              <w:bottom w:val="nil"/>
              <w:right w:val="nil"/>
            </w:tcBorders>
            <w:shd w:val="clear" w:color="auto" w:fill="FFFFFF"/>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94"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1129"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23"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701" w:type="pct"/>
            <w:tcBorders>
              <w:top w:val="nil"/>
              <w:left w:val="nil"/>
              <w:bottom w:val="nil"/>
              <w:right w:val="nil"/>
            </w:tcBorders>
            <w:shd w:val="clear" w:color="auto" w:fill="FFFFFF"/>
            <w:noWrap/>
            <w:vAlign w:val="bottom"/>
          </w:tcPr>
          <w:p>
            <w:pPr>
              <w:rPr>
                <w:rFonts w:hint="default" w:ascii="Arial" w:hAnsi="Arial" w:cs="Arial"/>
                <w:i w:val="0"/>
                <w:iCs w:val="0"/>
                <w:color w:val="000000"/>
                <w:sz w:val="20"/>
                <w:szCs w:val="20"/>
                <w:highlight w:val="none"/>
                <w:u w:val="none"/>
              </w:rPr>
            </w:pPr>
          </w:p>
        </w:tc>
        <w:tc>
          <w:tcPr>
            <w:tcW w:w="964" w:type="pct"/>
            <w:tcBorders>
              <w:top w:val="nil"/>
              <w:left w:val="nil"/>
              <w:bottom w:val="nil"/>
              <w:right w:val="nil"/>
            </w:tcBorders>
            <w:shd w:val="clear" w:color="auto" w:fill="FFFFFF"/>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10" w:type="pct"/>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389" w:type="pct"/>
            <w:gridSpan w:val="3"/>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vMerge w:val="restart"/>
            <w:tcBorders>
              <w:top w:val="nil"/>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1129" w:type="pct"/>
            <w:vMerge w:val="restar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723"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701"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964" w:type="pct"/>
            <w:vMerge w:val="restart"/>
            <w:tcBorders>
              <w:top w:val="nil"/>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481" w:type="pct"/>
            <w:gridSpan w:val="3"/>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1129" w:type="pct"/>
            <w:vMerge w:val="continue"/>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723"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701"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964"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vMerge w:val="continue"/>
            <w:tcBorders>
              <w:top w:val="nil"/>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1129" w:type="pct"/>
            <w:vMerge w:val="continue"/>
            <w:tcBorders>
              <w:top w:val="nil"/>
              <w:left w:val="nil"/>
              <w:bottom w:val="single" w:color="000000" w:sz="4" w:space="0"/>
              <w:right w:val="single" w:color="000000" w:sz="4" w:space="0"/>
            </w:tcBorders>
            <w:shd w:val="clear" w:color="FFFFFF" w:fill="FFFFFF"/>
            <w:noWrap/>
            <w:vAlign w:val="center"/>
          </w:tcPr>
          <w:p>
            <w:pPr>
              <w:jc w:val="center"/>
              <w:rPr>
                <w:rFonts w:hint="eastAsia" w:ascii="宋体" w:hAnsi="宋体" w:eastAsia="宋体" w:cs="宋体"/>
                <w:i w:val="0"/>
                <w:iCs w:val="0"/>
                <w:color w:val="000000"/>
                <w:sz w:val="22"/>
                <w:szCs w:val="22"/>
                <w:highlight w:val="none"/>
                <w:u w:val="none"/>
              </w:rPr>
            </w:pPr>
          </w:p>
        </w:tc>
        <w:tc>
          <w:tcPr>
            <w:tcW w:w="723"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701"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c>
          <w:tcPr>
            <w:tcW w:w="964" w:type="pct"/>
            <w:vMerge w:val="continue"/>
            <w:tcBorders>
              <w:top w:val="nil"/>
              <w:left w:val="nil"/>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10" w:type="pct"/>
            <w:gridSpan w:val="4"/>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723"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701"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964" w:type="pct"/>
            <w:tcBorders>
              <w:top w:val="nil"/>
              <w:left w:val="nil"/>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10" w:type="pct"/>
            <w:gridSpan w:val="4"/>
            <w:tcBorders>
              <w:top w:val="nil"/>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72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161.30</w:t>
            </w:r>
          </w:p>
        </w:tc>
        <w:tc>
          <w:tcPr>
            <w:tcW w:w="7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161.30</w:t>
            </w: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11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72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7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11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72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7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2120107</w:t>
            </w:r>
          </w:p>
        </w:tc>
        <w:tc>
          <w:tcPr>
            <w:tcW w:w="11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市政公用行业市场监管</w:t>
            </w:r>
          </w:p>
        </w:tc>
        <w:tc>
          <w:tcPr>
            <w:tcW w:w="72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7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161.30</w:t>
            </w: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112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2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7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112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2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7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112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2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7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112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2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7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8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112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highlight w:val="none"/>
                <w:u w:val="none"/>
              </w:rPr>
            </w:pPr>
          </w:p>
        </w:tc>
        <w:tc>
          <w:tcPr>
            <w:tcW w:w="72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7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c>
          <w:tcPr>
            <w:tcW w:w="9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0"/>
        <w:gridCol w:w="3299"/>
        <w:gridCol w:w="833"/>
        <w:gridCol w:w="730"/>
        <w:gridCol w:w="2271"/>
        <w:gridCol w:w="730"/>
        <w:gridCol w:w="730"/>
        <w:gridCol w:w="4121"/>
        <w:gridCol w:w="7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53"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highlight w:val="none"/>
                <w:u w:val="none"/>
              </w:rPr>
            </w:pPr>
          </w:p>
        </w:tc>
        <w:tc>
          <w:tcPr>
            <w:tcW w:w="1142"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2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2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78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2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2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1764" w:type="pct"/>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96" w:type="pct"/>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28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2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787"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2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253"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1764" w:type="pct"/>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6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3313" w:type="pct"/>
            <w:gridSpan w:val="6"/>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1142"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8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53"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787"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53"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53"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1426"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337"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1142"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28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253"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787"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253"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253"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1426"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337"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144.19</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16.47</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49.89</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26.03</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39.06</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11.01</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0.65</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14.16</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39906</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赠与</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14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5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14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114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14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3"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1142"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2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78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25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25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14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96" w:type="pct"/>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28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144.83</w:t>
            </w:r>
          </w:p>
        </w:tc>
        <w:tc>
          <w:tcPr>
            <w:tcW w:w="2975" w:type="pct"/>
            <w:gridSpan w:val="5"/>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33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084"/>
        <w:gridCol w:w="897"/>
        <w:gridCol w:w="897"/>
        <w:gridCol w:w="900"/>
        <w:gridCol w:w="903"/>
        <w:gridCol w:w="898"/>
        <w:gridCol w:w="1085"/>
        <w:gridCol w:w="898"/>
        <w:gridCol w:w="898"/>
        <w:gridCol w:w="901"/>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90"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highlight w:val="none"/>
                <w:u w:val="none"/>
              </w:rPr>
            </w:pP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80"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9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1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80"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0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2295" w:type="pct"/>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90"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16"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1048" w:type="pct"/>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公务用车购置及运行费</w:t>
            </w:r>
          </w:p>
        </w:tc>
        <w:tc>
          <w:tcPr>
            <w:tcW w:w="34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349"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16"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1048" w:type="pct"/>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公务用车购置及运行费</w:t>
            </w:r>
          </w:p>
        </w:tc>
        <w:tc>
          <w:tcPr>
            <w:tcW w:w="480"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90"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16"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公务用车运行费</w:t>
            </w:r>
          </w:p>
        </w:tc>
        <w:tc>
          <w:tcPr>
            <w:tcW w:w="34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349"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16"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公务用车运行费</w:t>
            </w:r>
          </w:p>
        </w:tc>
        <w:tc>
          <w:tcPr>
            <w:tcW w:w="48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90"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16"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16"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349"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480"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90" w:type="pct"/>
            <w:tcBorders>
              <w:top w:val="nil"/>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5000" w:type="pct"/>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注：本表反映部门本年度“三公”经费支出预决算情况。其中，预算数为“三公”经费年初预算数；决算数是包括当年一般公共预算财政拨款和以前年度结转资金安排的实际支出。</w:t>
            </w:r>
          </w:p>
        </w:tc>
      </w:tr>
    </w:tbl>
    <w:p>
      <w:pPr>
        <w:rPr>
          <w:rFonts w:hint="eastAsia" w:ascii="仿宋_GB2312" w:hAnsi="仿宋_GB2312" w:eastAsia="仿宋_GB2312" w:cs="仿宋_GB2312"/>
          <w:color w:val="auto"/>
          <w:sz w:val="32"/>
          <w:szCs w:val="32"/>
          <w:highlight w:val="none"/>
        </w:rPr>
        <w:sectPr>
          <w:pgSz w:w="16838" w:h="11906" w:orient="landscape"/>
          <w:pgMar w:top="2098" w:right="1474" w:bottom="1984" w:left="1587"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说明：我部门没有预算安排的三公经费，也没有预算安排的三公支出，故本表无数据</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16"/>
        <w:gridCol w:w="272"/>
        <w:gridCol w:w="275"/>
        <w:gridCol w:w="1349"/>
        <w:gridCol w:w="1304"/>
        <w:gridCol w:w="1304"/>
        <w:gridCol w:w="1304"/>
        <w:gridCol w:w="1304"/>
        <w:gridCol w:w="1304"/>
        <w:gridCol w:w="20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11" w:type="pct"/>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highlight w:val="none"/>
                <w:u w:val="none"/>
              </w:rPr>
            </w:pP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7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71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11"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部门：许昌市建安区市政管护所</w:t>
            </w: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9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76"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460" w:type="pct"/>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highlight w:val="none"/>
                <w:u w:val="none"/>
              </w:rPr>
            </w:pPr>
          </w:p>
        </w:tc>
        <w:tc>
          <w:tcPr>
            <w:tcW w:w="71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8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46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46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1380" w:type="pct"/>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717"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04" w:type="pct"/>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476"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46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460"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460" w:type="pct"/>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71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04"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76"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71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04"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76" w:type="pct"/>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460" w:type="pct"/>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717"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80"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46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6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6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6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6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7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80"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0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0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0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0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7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4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bl>
    <w:p>
      <w:pPr>
        <w:jc w:val="center"/>
        <w:outlineLvl w:val="9"/>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说明：我部门没有政府性基金收入，也没有使用政府性基金安排的支出，故本表无数据</w:t>
      </w: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第三部分 2021年度部门决算情况说明</w:t>
      </w:r>
    </w:p>
    <w:p>
      <w:pPr>
        <w:widowControl/>
        <w:jc w:val="left"/>
        <w:rPr>
          <w:rFonts w:hint="eastAsia" w:ascii="黑体" w:hAnsi="黑体" w:eastAsia="黑体" w:cs="黑体"/>
          <w:sz w:val="48"/>
          <w:szCs w:val="48"/>
          <w:highlight w:val="none"/>
        </w:rPr>
        <w:sectPr>
          <w:pgSz w:w="11906" w:h="16838"/>
          <w:pgMar w:top="1440" w:right="1800" w:bottom="1440" w:left="1800" w:header="720" w:footer="720" w:gutter="0"/>
          <w:pgNumType w:fmt="numberInDash"/>
          <w:cols w:space="720" w:num="1"/>
          <w:docGrid w:type="lines" w:linePitch="312" w:charSpace="0"/>
        </w:sectPr>
      </w:pP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一、收入支出决算总体情况说明</w:t>
      </w:r>
    </w:p>
    <w:p>
      <w:pPr>
        <w:widowControl/>
        <w:spacing w:line="590" w:lineRule="exact"/>
        <w:ind w:firstLine="640" w:firstLineChars="200"/>
        <w:rPr>
          <w:rFonts w:hint="eastAsia" w:ascii="黑体" w:hAnsi="黑体" w:eastAsia="黑体" w:cs="黑体"/>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年度收、支总计均为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sz w:val="32"/>
          <w:szCs w:val="32"/>
          <w:highlight w:val="none"/>
        </w:rPr>
        <w:t>万元。与上年度相比，收、支总计各增加</w:t>
      </w:r>
      <w:r>
        <w:rPr>
          <w:rFonts w:hint="eastAsia" w:ascii="仿宋_GB2312" w:hAnsi="仿宋_GB2312" w:eastAsia="仿宋_GB2312" w:cs="仿宋_GB2312"/>
          <w:sz w:val="32"/>
          <w:szCs w:val="32"/>
          <w:highlight w:val="none"/>
          <w:lang w:val="en-US" w:eastAsia="zh-CN"/>
        </w:rPr>
        <w:t>3.86</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2.45</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二、收入决算情况说明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黑体" w:hAnsi="黑体" w:eastAsia="黑体" w:cs="黑体"/>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年度收入合计</w:t>
      </w:r>
      <w:r>
        <w:rPr>
          <w:rFonts w:hint="eastAsia" w:ascii="仿宋_GB2312" w:hAnsi="仿宋_GB2312" w:eastAsia="仿宋_GB2312" w:cs="仿宋_GB2312"/>
          <w:sz w:val="32"/>
          <w:szCs w:val="32"/>
          <w:highlight w:val="none"/>
          <w:lang w:val="en-US" w:eastAsia="zh-CN"/>
        </w:rPr>
        <w:t>161.19</w:t>
      </w:r>
      <w:r>
        <w:rPr>
          <w:rFonts w:hint="eastAsia" w:ascii="仿宋_GB2312" w:hAnsi="仿宋_GB2312" w:eastAsia="仿宋_GB2312" w:cs="仿宋_GB2312"/>
          <w:sz w:val="32"/>
          <w:szCs w:val="32"/>
          <w:highlight w:val="none"/>
        </w:rPr>
        <w:t>万元，其中：财政拨款收入</w:t>
      </w:r>
      <w:r>
        <w:rPr>
          <w:rFonts w:hint="eastAsia" w:ascii="仿宋_GB2312" w:hAnsi="仿宋_GB2312" w:eastAsia="仿宋_GB2312" w:cs="仿宋_GB2312"/>
          <w:sz w:val="32"/>
          <w:szCs w:val="32"/>
          <w:highlight w:val="none"/>
          <w:lang w:val="en-US" w:eastAsia="zh-CN"/>
        </w:rPr>
        <w:t>161.19</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上级补助收0.00万元，占0.00%；事业收入0.00万元，占0.00%；经营收入0.00万元，占0.00%；附属单位上缴收入0.00万元，占0.00%；其他收入0.00万元，占0.00%。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三、支出决算情况说明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年度支出合计</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sz w:val="32"/>
          <w:szCs w:val="32"/>
          <w:highlight w:val="none"/>
        </w:rPr>
        <w:t>万元，其中：基本支出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项目支出0.00万元，占0.00%；上缴上级支出0.00万元，占0.00%；经营支出0.00万元，占0.00%；对附属单位补助支出0.00万元，占0.00%。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四、财政拨款收入支出决算总体情况说明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年度财政拨款收、支总计均为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sz w:val="32"/>
          <w:szCs w:val="32"/>
          <w:highlight w:val="none"/>
        </w:rPr>
        <w:t>万元。与上年度相比，财政拨款收、支总计各增加</w:t>
      </w:r>
      <w:r>
        <w:rPr>
          <w:rFonts w:hint="eastAsia" w:ascii="仿宋_GB2312" w:hAnsi="仿宋_GB2312" w:eastAsia="仿宋_GB2312" w:cs="仿宋_GB2312"/>
          <w:sz w:val="32"/>
          <w:szCs w:val="32"/>
          <w:highlight w:val="none"/>
          <w:lang w:val="en-US" w:eastAsia="zh-CN"/>
        </w:rPr>
        <w:t>3.86</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2.45</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五、一般公共预算财政拨款支出决算情况说明</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（一）总体情况。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sz w:val="32"/>
          <w:szCs w:val="32"/>
          <w:highlight w:val="none"/>
        </w:rPr>
        <w:t>万元，占支出合计的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%。与上年度相比，一般公共预算财政拨款支出增加</w:t>
      </w:r>
      <w:r>
        <w:rPr>
          <w:rFonts w:hint="eastAsia" w:ascii="仿宋_GB2312" w:hAnsi="仿宋_GB2312" w:eastAsia="仿宋_GB2312" w:cs="仿宋_GB2312"/>
          <w:sz w:val="32"/>
          <w:szCs w:val="32"/>
          <w:highlight w:val="none"/>
          <w:lang w:val="en-US" w:eastAsia="zh-CN"/>
        </w:rPr>
        <w:t>5.16</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3.13</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（二）结构情况。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color w:val="auto"/>
          <w:sz w:val="32"/>
          <w:szCs w:val="32"/>
          <w:highlight w:val="none"/>
          <w:lang w:val="en-US" w:eastAsia="zh-CN"/>
        </w:rPr>
        <w:t>主要用于以下方面：城乡社区（类）支出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color w:val="auto"/>
          <w:sz w:val="32"/>
          <w:szCs w:val="32"/>
          <w:highlight w:val="none"/>
          <w:lang w:val="en-US" w:eastAsia="zh-CN"/>
        </w:rPr>
        <w:t>万元，占100.00%。</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（三）具体情况。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159.41</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sz w:val="32"/>
          <w:szCs w:val="32"/>
          <w:highlight w:val="none"/>
        </w:rPr>
        <w:t>万元，完成</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预算的</w:t>
      </w:r>
      <w:r>
        <w:rPr>
          <w:rFonts w:hint="eastAsia" w:ascii="仿宋_GB2312" w:hAnsi="仿宋_GB2312" w:eastAsia="仿宋_GB2312" w:cs="仿宋_GB2312"/>
          <w:sz w:val="32"/>
          <w:szCs w:val="32"/>
          <w:highlight w:val="none"/>
          <w:lang w:val="en-US" w:eastAsia="zh-CN"/>
        </w:rPr>
        <w:t>101.19</w:t>
      </w:r>
      <w:r>
        <w:rPr>
          <w:rFonts w:hint="eastAsia" w:ascii="仿宋_GB2312" w:hAnsi="仿宋_GB2312" w:eastAsia="仿宋_GB2312" w:cs="仿宋_GB2312"/>
          <w:sz w:val="32"/>
          <w:szCs w:val="32"/>
          <w:highlight w:val="none"/>
        </w:rPr>
        <w:t>%。其中：</w:t>
      </w:r>
    </w:p>
    <w:p>
      <w:pPr>
        <w:widowControl/>
        <w:spacing w:line="590" w:lineRule="exact"/>
        <w:ind w:firstLine="643"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1．城乡社区支出（类）城乡社区管理事务（款） 市政公用行业市场监管（项）。</w:t>
      </w:r>
      <w:r>
        <w:rPr>
          <w:rFonts w:hint="eastAsia" w:ascii="仿宋_GB2312" w:hAnsi="仿宋_GB2312" w:eastAsia="仿宋_GB2312" w:cs="仿宋_GB2312"/>
          <w:color w:val="auto"/>
          <w:sz w:val="32"/>
          <w:szCs w:val="32"/>
          <w:highlight w:val="none"/>
          <w:lang w:val="en-US" w:eastAsia="zh-CN"/>
        </w:rPr>
        <w:t>年初预算为</w:t>
      </w:r>
      <w:r>
        <w:rPr>
          <w:rFonts w:hint="eastAsia" w:ascii="仿宋_GB2312" w:hAnsi="仿宋_GB2312" w:eastAsia="仿宋_GB2312" w:cs="仿宋_GB2312"/>
          <w:sz w:val="32"/>
          <w:szCs w:val="32"/>
          <w:highlight w:val="none"/>
          <w:lang w:val="en-US" w:eastAsia="zh-CN"/>
        </w:rPr>
        <w:t>159.41</w:t>
      </w:r>
      <w:r>
        <w:rPr>
          <w:rFonts w:hint="eastAsia" w:ascii="仿宋_GB2312" w:hAnsi="仿宋_GB2312" w:eastAsia="仿宋_GB2312" w:cs="仿宋_GB2312"/>
          <w:color w:val="auto"/>
          <w:sz w:val="32"/>
          <w:szCs w:val="32"/>
          <w:highlight w:val="none"/>
          <w:lang w:val="en-US" w:eastAsia="zh-CN"/>
        </w:rPr>
        <w:t>万元，支出决算为161.30万元，完成年初预算的101.19%。决算数与年初预算数存在差异的主要原因是</w:t>
      </w:r>
      <w:r>
        <w:rPr>
          <w:rFonts w:hint="eastAsia" w:ascii="仿宋_GB2312" w:hAnsi="仿宋_GB2312" w:eastAsia="仿宋_GB2312" w:cs="仿宋_GB2312"/>
          <w:sz w:val="32"/>
          <w:szCs w:val="32"/>
          <w:highlight w:val="none"/>
          <w:lang w:eastAsia="zh-CN"/>
        </w:rPr>
        <w:t>本年度人员工资标准上调</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2021年度一般公共预算财政拨款基本支出</w:t>
      </w:r>
      <w:r>
        <w:rPr>
          <w:rFonts w:hint="eastAsia" w:ascii="仿宋_GB2312" w:hAnsi="仿宋_GB2312" w:eastAsia="仿宋_GB2312" w:cs="仿宋_GB2312"/>
          <w:sz w:val="32"/>
          <w:szCs w:val="32"/>
          <w:highlight w:val="none"/>
          <w:lang w:val="en-US" w:eastAsia="zh-CN"/>
        </w:rPr>
        <w:t>161.30</w:t>
      </w:r>
      <w:r>
        <w:rPr>
          <w:rFonts w:hint="eastAsia" w:ascii="仿宋_GB2312" w:hAnsi="仿宋_GB2312" w:eastAsia="仿宋_GB2312" w:cs="仿宋_GB2312"/>
          <w:color w:val="auto"/>
          <w:sz w:val="32"/>
          <w:szCs w:val="32"/>
          <w:highlight w:val="none"/>
          <w:lang w:val="en-US" w:eastAsia="zh-CN"/>
        </w:rPr>
        <w:t>万元。其中：人员经费</w:t>
      </w:r>
      <w:r>
        <w:rPr>
          <w:rFonts w:hint="eastAsia" w:ascii="仿宋_GB2312" w:hAnsi="仿宋_GB2312" w:eastAsia="仿宋_GB2312" w:cs="仿宋_GB2312"/>
          <w:sz w:val="32"/>
          <w:szCs w:val="32"/>
          <w:highlight w:val="none"/>
          <w:lang w:val="en-US" w:eastAsia="zh-CN"/>
        </w:rPr>
        <w:t>144.83</w:t>
      </w:r>
      <w:r>
        <w:rPr>
          <w:rFonts w:hint="eastAsia" w:ascii="仿宋_GB2312" w:hAnsi="仿宋_GB2312" w:eastAsia="仿宋_GB2312" w:cs="仿宋_GB2312"/>
          <w:color w:val="auto"/>
          <w:sz w:val="32"/>
          <w:szCs w:val="32"/>
          <w:highlight w:val="none"/>
          <w:lang w:val="en-US" w:eastAsia="zh-CN"/>
        </w:rPr>
        <w:t>万元，主要包括：基本工资、津贴补贴、绩效工资、机关事业单位基本养老保险缴费、职工基本医疗保险缴费、其他社会保障缴费、住房公积金、生活补助；公用经费</w:t>
      </w:r>
      <w:r>
        <w:rPr>
          <w:rFonts w:hint="eastAsia" w:ascii="仿宋_GB2312" w:hAnsi="仿宋_GB2312" w:eastAsia="仿宋_GB2312" w:cs="仿宋_GB2312"/>
          <w:sz w:val="32"/>
          <w:szCs w:val="32"/>
          <w:highlight w:val="none"/>
          <w:lang w:val="en-US" w:eastAsia="zh-CN"/>
        </w:rPr>
        <w:t>16.47</w:t>
      </w:r>
      <w:r>
        <w:rPr>
          <w:rFonts w:hint="eastAsia" w:ascii="仿宋_GB2312" w:hAnsi="仿宋_GB2312" w:eastAsia="仿宋_GB2312" w:cs="仿宋_GB2312"/>
          <w:color w:val="auto"/>
          <w:sz w:val="32"/>
          <w:szCs w:val="32"/>
          <w:highlight w:val="none"/>
          <w:lang w:val="en-US" w:eastAsia="zh-CN"/>
        </w:rPr>
        <w:t>万元，主要包括：办公费、劳务费、其他交通费用。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七、一般公共预算财政拨款“三公”经费支出决算情况说明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2021年度“三公”经费财政拨款支出预算为0.00万元，支出决算为0.00万元，完成预算的0.00%。2021年度“三公”经费支出决算数与预算数无差异。</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（二）“三公”经费财政拨款支出决算具体情况说明。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决算中，因公出国（境）费支出决算0.00万元，完成预算的0.00%，占0.00%；公务用车购置及运行费支出决算0.00万元，完成预算的0.00%，占0.00%；公务接待费支出决算0.00万元，完成预算的0.00%，占0.00%。具体情况如下：</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1．因公出国（境）费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预算为0.00万元，支出决算为0.00万元，完成预算的0.00%。决算数与预算数无差异。全年因公出国（境）团组0个，累计0人次。</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2．公务用车购置及运行费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公务用车购置支出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，购置车辆0辆。</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公务用车运行支出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2021年期末，部门开支财政拨款的公务用车保有量为0辆。</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3.公务接待费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外宾接待支出</w:t>
      </w:r>
      <w:r>
        <w:rPr>
          <w:rFonts w:hint="eastAsia" w:ascii="仿宋_GB2312" w:hAnsi="仿宋_GB2312" w:eastAsia="仿宋_GB2312" w:cs="仿宋_GB2312"/>
          <w:color w:val="auto"/>
          <w:sz w:val="32"/>
          <w:szCs w:val="32"/>
          <w:highlight w:val="none"/>
          <w:lang w:val="en-US" w:eastAsia="zh-CN"/>
        </w:rPr>
        <w:t>0.00万元。2021年共接待国（境）外来访团组0个、来访外宾0人次（不包括陪同人员）。</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其他国内公务接待支出</w:t>
      </w:r>
      <w:r>
        <w:rPr>
          <w:rFonts w:hint="eastAsia" w:ascii="仿宋_GB2312" w:hAnsi="仿宋_GB2312" w:eastAsia="仿宋_GB2312" w:cs="仿宋_GB2312"/>
          <w:color w:val="auto"/>
          <w:sz w:val="32"/>
          <w:szCs w:val="32"/>
          <w:highlight w:val="none"/>
          <w:lang w:val="en-US" w:eastAsia="zh-CN"/>
        </w:rPr>
        <w:t>0.00万元。2021年共接待国内来访团组0个、来宾0人次（不包括陪同人员）。</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八、政府性基金预算财政拨款支出决算情况说明</w:t>
      </w:r>
    </w:p>
    <w:p>
      <w:pPr>
        <w:widowControl/>
        <w:spacing w:line="59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2021年度政府性基金预算财政拨款支出年初预算为0.00万元，支出决算为0.00万元，完成预算的0.00%。不存在项目年末结转和结余资金数额较大。情况说明：</w:t>
      </w:r>
      <w:r>
        <w:rPr>
          <w:rFonts w:hint="eastAsia" w:ascii="仿宋_GB2312" w:hAnsi="仿宋_GB2312" w:eastAsia="仿宋_GB2312" w:cs="仿宋_GB2312"/>
          <w:sz w:val="32"/>
          <w:szCs w:val="32"/>
          <w:highlight w:val="none"/>
        </w:rPr>
        <w:t>我单位202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年度没有政府性基金收入，也没有使用政府性基金安排的支出。</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九、机关运行经费支出情况说明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2021年度机关运行经费年初预算为0.00万元，支出决算为0.00万元，完成预算的0.00%。决算数与年初预算数无差异。情况说明：我单位不是行政机关，也不是参照公务员管理事业单位，没有机关运行经费支出。</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十、政府采购支出情况说明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2021年度政府采购支出总额0.00万元，其中：政府采购货物支出0.00万元、政府采购工程支出0.00万元、政府采购服务支出0.00万元。</w:t>
      </w:r>
      <w:r>
        <w:rPr>
          <w:rFonts w:hint="eastAsia" w:ascii="仿宋_GB2312" w:hAnsi="仿宋_GB2312" w:eastAsia="仿宋_GB2312" w:cs="仿宋_GB2312"/>
          <w:sz w:val="32"/>
          <w:szCs w:val="32"/>
          <w:highlight w:val="none"/>
        </w:rPr>
        <w:t>授予中小企业合同金额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%，其中：授予小微企业合同金额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十一、国有资产占用情况说明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年期末，我单位共有车辆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辆，其中：省级领导干部用车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辆；单位价值50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十二、预算绩效情况说明</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按照《许昌市建安区财政局关于开展2021年度区级预算项目绩效自评工作的通知》（建安财效〔2022〕2号）文件要求，对本单位整体支出和项目支出开展全过程预算绩效管理。2021年我单位纳入预算绩效管理的支出总额为161.30万元，其中：基本支出161.30万元；支出项目0个，支出金额0.00万元。开展项目绩效自评项目0个，自评金额0.00万元；纳入重点绩效评价0个，评价金额0.00万元。</w:t>
      </w: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964" w:firstLineChars="3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（二）部门（单位）整体和项目绩效自评结果。</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按照《许昌市财政局关于开展2021年度市级预算绩效自评工作的通知》（许财效）〔2021〕1号）等文件精神，我单位对本单位整体绩效目标和项目支出绩效目标进行了自评。一是单位整体绩效自评情况：</w:t>
      </w:r>
      <w:r>
        <w:rPr>
          <w:rFonts w:hint="eastAsia" w:ascii="仿宋_GB2312" w:hAnsi="仿宋_GB2312" w:eastAsia="仿宋_GB2312" w:cs="仿宋_GB2312"/>
          <w:sz w:val="32"/>
          <w:szCs w:val="32"/>
          <w:highlight w:val="none"/>
        </w:rPr>
        <w:t>自20</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年全面开展绩效工作，对管理人员，主要是根据层层分解的关键业绩指标完成情况进行考核；同时，在</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rPr>
        <w:t>里倡导采用“考勤制”考核办法，办公室出台了“工作突出制”实施指导意见，帮助</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rPr>
        <w:t>里建立各自的考核办法。经过</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的实施，绩效管理在管理人员中起到了一定的积极作用，各级管理人员真正认识到自己的岗位职责，能够认真履职，管理水平得到极大地提高。在任务繁重、人员紧张的情况下，我们看到，由于长期疲劳工作，干活多的人和干活少的人有了比较，岗位高的人与岗位低的人都在努力干好自己的工作，遵守</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rPr>
        <w:t>里的纪律，</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rPr>
        <w:t>里的凝聚力和战斗力提高，工作效率提高，以上现象，说明我们的</w:t>
      </w:r>
      <w:r>
        <w:rPr>
          <w:rFonts w:hint="eastAsia" w:ascii="仿宋_GB2312" w:hAnsi="仿宋_GB2312" w:eastAsia="仿宋_GB2312" w:cs="仿宋_GB2312"/>
          <w:sz w:val="32"/>
          <w:szCs w:val="32"/>
          <w:highlight w:val="none"/>
          <w:lang w:eastAsia="zh-CN"/>
        </w:rPr>
        <w:t>整体</w:t>
      </w:r>
      <w:r>
        <w:rPr>
          <w:rFonts w:hint="eastAsia" w:ascii="仿宋_GB2312" w:hAnsi="仿宋_GB2312" w:eastAsia="仿宋_GB2312" w:cs="仿宋_GB2312"/>
          <w:sz w:val="32"/>
          <w:szCs w:val="32"/>
          <w:highlight w:val="none"/>
        </w:rPr>
        <w:t>绩效管理工作取得了一定的成效</w:t>
      </w:r>
      <w:r>
        <w:rPr>
          <w:rFonts w:hint="eastAsia" w:ascii="仿宋_GB2312" w:hAnsi="仿宋_GB2312" w:eastAsia="仿宋_GB2312" w:cs="仿宋_GB2312"/>
          <w:color w:val="auto"/>
          <w:sz w:val="32"/>
          <w:szCs w:val="32"/>
          <w:highlight w:val="none"/>
          <w:lang w:val="en-US" w:eastAsia="zh-CN"/>
        </w:rPr>
        <w:t>。二是项目绩效自评情况。我单位共有0个项目批复了绩效目标。</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0.00分。其中：0个项目评价等级为“优”、0个项目评价等级为“良”、0个项目评价等级为“中”、0个项目评价等级为“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964" w:firstLineChars="3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widowControl/>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我单位选取0个项目开展了部门重点评价，评价得分：/分，等次为“/”。许昌市建安区财政局选取我单位：0个项目开展财政重点评价。</w:t>
      </w:r>
    </w:p>
    <w:p>
      <w:pPr>
        <w:widowControl/>
        <w:ind w:firstLine="640" w:firstLineChars="200"/>
        <w:jc w:val="left"/>
        <w:rPr>
          <w:rFonts w:hint="default" w:ascii="黑体" w:hAnsi="宋体" w:eastAsia="黑体" w:cs="宋体"/>
          <w:kern w:val="0"/>
          <w:sz w:val="28"/>
          <w:szCs w:val="28"/>
          <w:highlight w:val="none"/>
          <w:lang w:val="en-US"/>
        </w:rPr>
      </w:pPr>
      <w:r>
        <w:rPr>
          <w:rFonts w:hint="eastAsia" w:ascii="仿宋_GB2312" w:hAnsi="仿宋_GB2312" w:eastAsia="仿宋_GB2312" w:cs="仿宋_GB2312"/>
          <w:color w:val="auto"/>
          <w:sz w:val="32"/>
          <w:szCs w:val="32"/>
          <w:highlight w:val="none"/>
          <w:lang w:val="en-US" w:eastAsia="zh-CN"/>
        </w:rPr>
        <w:t>2021年度我单位没有开展重点绩效评价的项目。</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ind w:firstLine="2400" w:firstLineChars="500"/>
        <w:jc w:val="both"/>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第四部分  名词解释</w:t>
      </w:r>
    </w:p>
    <w:p>
      <w:pPr>
        <w:jc w:val="center"/>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一、财政拨款收入：</w:t>
      </w:r>
      <w:r>
        <w:rPr>
          <w:rFonts w:hint="eastAsia" w:ascii="仿宋_GB2312" w:hAnsi="仿宋_GB2312" w:eastAsia="仿宋_GB2312" w:cs="仿宋_GB2312"/>
          <w:color w:val="auto"/>
          <w:sz w:val="32"/>
          <w:szCs w:val="32"/>
          <w:highlight w:val="none"/>
          <w:lang w:val="en-US" w:eastAsia="zh-CN"/>
        </w:rPr>
        <w:t>单位从同级政府财政部门取得的财政预算资金。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二、基本支出：为保障机构正常运转、完成日常工作任务而发生的人员支出和公用支出。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四、工资福利支出：单位支付给在职职工和编制外长期聘用人员的各类劳动报酬，以及为上述人员缴纳的各项社会保险费等。</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五、商品和服务支出：单位购买商品和服务的支出。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六、对个人和家庭的补助支出：单位用于对个人和家庭的补助支出。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八、年末结转：本年度或以前年度预算安排，已执行但尚未完成或因客观条件发生变化无法按原计划实施，需延迟到以后年度按有关规定继续使用的资金。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九、年末结余：本年度或以前年度预算安排，已执行完毕或因客观条件发生变化无法按原预算安排实施，不需要再使用或无法按原预算安排继续使用的资金。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widowControl/>
        <w:spacing w:line="590" w:lineRule="exact"/>
        <w:ind w:firstLine="640" w:firstLineChars="200"/>
        <w:jc w:val="left"/>
        <w:rPr>
          <w:rFonts w:hint="eastAsia" w:ascii="仿宋_GB2312" w:hAnsi="仿宋_GB2312" w:eastAsia="仿宋_GB2312" w:cs="仿宋_GB2312"/>
          <w:sz w:val="32"/>
          <w:szCs w:val="32"/>
          <w:highlight w:val="none"/>
        </w:rPr>
      </w:pP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- 26 -</w:t>
                          </w:r>
                          <w:r>
                            <w:rPr>
                              <w:rFonts w:hint="eastAsia"/>
                              <w:sz w:val="18"/>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vdzckBAACZ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Ae93N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- 26 -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652EA"/>
    <w:multiLevelType w:val="singleLevel"/>
    <w:tmpl w:val="8B7652EA"/>
    <w:lvl w:ilvl="0" w:tentative="0">
      <w:start w:val="1"/>
      <w:numFmt w:val="chineseCounting"/>
      <w:suff w:val="space"/>
      <w:lvlText w:val="第%1部分"/>
      <w:lvlJc w:val="left"/>
      <w:rPr>
        <w:rFonts w:hint="eastAsia"/>
      </w:rPr>
    </w:lvl>
  </w:abstractNum>
  <w:abstractNum w:abstractNumId="1">
    <w:nsid w:val="5971BE17"/>
    <w:multiLevelType w:val="singleLevel"/>
    <w:tmpl w:val="5971BE17"/>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0270E8"/>
    <w:rsid w:val="000270E8"/>
    <w:rsid w:val="000335B5"/>
    <w:rsid w:val="00057AFD"/>
    <w:rsid w:val="00076410"/>
    <w:rsid w:val="00081835"/>
    <w:rsid w:val="000904B3"/>
    <w:rsid w:val="000C073B"/>
    <w:rsid w:val="000C1142"/>
    <w:rsid w:val="001003F8"/>
    <w:rsid w:val="00144159"/>
    <w:rsid w:val="001718A8"/>
    <w:rsid w:val="00182842"/>
    <w:rsid w:val="00184D53"/>
    <w:rsid w:val="001905F2"/>
    <w:rsid w:val="00197592"/>
    <w:rsid w:val="001C32F0"/>
    <w:rsid w:val="001D61B1"/>
    <w:rsid w:val="001F5040"/>
    <w:rsid w:val="002006EB"/>
    <w:rsid w:val="00214AE1"/>
    <w:rsid w:val="00260D70"/>
    <w:rsid w:val="00281114"/>
    <w:rsid w:val="00282C7F"/>
    <w:rsid w:val="00287811"/>
    <w:rsid w:val="00292B4B"/>
    <w:rsid w:val="002A6352"/>
    <w:rsid w:val="002B3F94"/>
    <w:rsid w:val="002C171D"/>
    <w:rsid w:val="002E6A86"/>
    <w:rsid w:val="00304D04"/>
    <w:rsid w:val="00305B88"/>
    <w:rsid w:val="00315FEB"/>
    <w:rsid w:val="0041489C"/>
    <w:rsid w:val="0042585F"/>
    <w:rsid w:val="00445CAC"/>
    <w:rsid w:val="00472E19"/>
    <w:rsid w:val="00487869"/>
    <w:rsid w:val="004D5275"/>
    <w:rsid w:val="004F63DB"/>
    <w:rsid w:val="00505190"/>
    <w:rsid w:val="00507364"/>
    <w:rsid w:val="00546F7C"/>
    <w:rsid w:val="005A0C2F"/>
    <w:rsid w:val="005B1AE2"/>
    <w:rsid w:val="005E3397"/>
    <w:rsid w:val="00607D67"/>
    <w:rsid w:val="006228C4"/>
    <w:rsid w:val="00636C37"/>
    <w:rsid w:val="006512DD"/>
    <w:rsid w:val="00656BEF"/>
    <w:rsid w:val="00656D75"/>
    <w:rsid w:val="00657E86"/>
    <w:rsid w:val="00673EF7"/>
    <w:rsid w:val="006841E9"/>
    <w:rsid w:val="0069449E"/>
    <w:rsid w:val="006C07F0"/>
    <w:rsid w:val="006C644A"/>
    <w:rsid w:val="006C7D84"/>
    <w:rsid w:val="007148E8"/>
    <w:rsid w:val="00733DAA"/>
    <w:rsid w:val="00742BA0"/>
    <w:rsid w:val="00753545"/>
    <w:rsid w:val="00764156"/>
    <w:rsid w:val="007706D7"/>
    <w:rsid w:val="007879ED"/>
    <w:rsid w:val="007A48A3"/>
    <w:rsid w:val="007C029F"/>
    <w:rsid w:val="007C7F49"/>
    <w:rsid w:val="007D2A21"/>
    <w:rsid w:val="00843461"/>
    <w:rsid w:val="008651E7"/>
    <w:rsid w:val="00872946"/>
    <w:rsid w:val="0088023A"/>
    <w:rsid w:val="008858FB"/>
    <w:rsid w:val="00894B41"/>
    <w:rsid w:val="008B5427"/>
    <w:rsid w:val="008C7CD0"/>
    <w:rsid w:val="00903F6B"/>
    <w:rsid w:val="009173F9"/>
    <w:rsid w:val="009308CB"/>
    <w:rsid w:val="00950270"/>
    <w:rsid w:val="00962F58"/>
    <w:rsid w:val="00975A04"/>
    <w:rsid w:val="00987E71"/>
    <w:rsid w:val="009F0FBB"/>
    <w:rsid w:val="009F546E"/>
    <w:rsid w:val="00A079F0"/>
    <w:rsid w:val="00A42F43"/>
    <w:rsid w:val="00A51982"/>
    <w:rsid w:val="00A57BF7"/>
    <w:rsid w:val="00A71DC1"/>
    <w:rsid w:val="00A83D8A"/>
    <w:rsid w:val="00A93E7D"/>
    <w:rsid w:val="00AA260E"/>
    <w:rsid w:val="00AA44CB"/>
    <w:rsid w:val="00AA67CD"/>
    <w:rsid w:val="00AD6761"/>
    <w:rsid w:val="00AE2FEA"/>
    <w:rsid w:val="00AE600E"/>
    <w:rsid w:val="00B0083B"/>
    <w:rsid w:val="00B040BC"/>
    <w:rsid w:val="00B209B8"/>
    <w:rsid w:val="00B20BBC"/>
    <w:rsid w:val="00B249F3"/>
    <w:rsid w:val="00B649BE"/>
    <w:rsid w:val="00B653A5"/>
    <w:rsid w:val="00B710DD"/>
    <w:rsid w:val="00BE5A85"/>
    <w:rsid w:val="00BF4E6A"/>
    <w:rsid w:val="00BF5718"/>
    <w:rsid w:val="00C13474"/>
    <w:rsid w:val="00C3106E"/>
    <w:rsid w:val="00C60609"/>
    <w:rsid w:val="00C95CC1"/>
    <w:rsid w:val="00CA3F44"/>
    <w:rsid w:val="00CB03ED"/>
    <w:rsid w:val="00CE212D"/>
    <w:rsid w:val="00CE4B38"/>
    <w:rsid w:val="00D1321A"/>
    <w:rsid w:val="00D30ADF"/>
    <w:rsid w:val="00D33CF8"/>
    <w:rsid w:val="00D6315E"/>
    <w:rsid w:val="00D652C2"/>
    <w:rsid w:val="00D74EE2"/>
    <w:rsid w:val="00D83E19"/>
    <w:rsid w:val="00D86CAD"/>
    <w:rsid w:val="00DA00C9"/>
    <w:rsid w:val="00DB200E"/>
    <w:rsid w:val="00DB65F5"/>
    <w:rsid w:val="00E01C3E"/>
    <w:rsid w:val="00E13099"/>
    <w:rsid w:val="00E4339F"/>
    <w:rsid w:val="00E60B05"/>
    <w:rsid w:val="00E629EA"/>
    <w:rsid w:val="00E6777C"/>
    <w:rsid w:val="00EB05A3"/>
    <w:rsid w:val="00ED38B7"/>
    <w:rsid w:val="00EE051D"/>
    <w:rsid w:val="00F0131A"/>
    <w:rsid w:val="00F14C17"/>
    <w:rsid w:val="00F17041"/>
    <w:rsid w:val="00F218CF"/>
    <w:rsid w:val="00F44937"/>
    <w:rsid w:val="00F61A47"/>
    <w:rsid w:val="00F84422"/>
    <w:rsid w:val="00F95455"/>
    <w:rsid w:val="00FA574D"/>
    <w:rsid w:val="00FC2588"/>
    <w:rsid w:val="00FE7AD9"/>
    <w:rsid w:val="01322275"/>
    <w:rsid w:val="01DC6F05"/>
    <w:rsid w:val="02A3489A"/>
    <w:rsid w:val="02CA138D"/>
    <w:rsid w:val="033646FC"/>
    <w:rsid w:val="03C75F80"/>
    <w:rsid w:val="0478364D"/>
    <w:rsid w:val="053D4C0D"/>
    <w:rsid w:val="0557532E"/>
    <w:rsid w:val="062C6E2A"/>
    <w:rsid w:val="0799329C"/>
    <w:rsid w:val="08397436"/>
    <w:rsid w:val="086F16A7"/>
    <w:rsid w:val="0A0F7225"/>
    <w:rsid w:val="0A2B7D82"/>
    <w:rsid w:val="0ADC40E9"/>
    <w:rsid w:val="0AE607F4"/>
    <w:rsid w:val="0B386127"/>
    <w:rsid w:val="0B451598"/>
    <w:rsid w:val="0BEC73F4"/>
    <w:rsid w:val="0C392698"/>
    <w:rsid w:val="10BD36F6"/>
    <w:rsid w:val="11BF0649"/>
    <w:rsid w:val="123E3E08"/>
    <w:rsid w:val="133212F4"/>
    <w:rsid w:val="13D22E22"/>
    <w:rsid w:val="161C2DFF"/>
    <w:rsid w:val="16373578"/>
    <w:rsid w:val="16D3336B"/>
    <w:rsid w:val="17200028"/>
    <w:rsid w:val="17806C36"/>
    <w:rsid w:val="179D64F4"/>
    <w:rsid w:val="17A74F62"/>
    <w:rsid w:val="18A47774"/>
    <w:rsid w:val="1A8D28EB"/>
    <w:rsid w:val="1A9F2D78"/>
    <w:rsid w:val="1AC67717"/>
    <w:rsid w:val="1B2E6FD8"/>
    <w:rsid w:val="1B877D21"/>
    <w:rsid w:val="1C4319A9"/>
    <w:rsid w:val="1E443B4B"/>
    <w:rsid w:val="1E994F4A"/>
    <w:rsid w:val="1EAF0224"/>
    <w:rsid w:val="1F2230A4"/>
    <w:rsid w:val="20210932"/>
    <w:rsid w:val="202448E0"/>
    <w:rsid w:val="20F614FE"/>
    <w:rsid w:val="21302EEA"/>
    <w:rsid w:val="22376FB5"/>
    <w:rsid w:val="23E152D7"/>
    <w:rsid w:val="23EE2489"/>
    <w:rsid w:val="255D43C8"/>
    <w:rsid w:val="26714EF8"/>
    <w:rsid w:val="26876BDD"/>
    <w:rsid w:val="2714632A"/>
    <w:rsid w:val="27541E73"/>
    <w:rsid w:val="27B0539E"/>
    <w:rsid w:val="29365CF8"/>
    <w:rsid w:val="299469B3"/>
    <w:rsid w:val="2A805789"/>
    <w:rsid w:val="2ADC0D75"/>
    <w:rsid w:val="2B4A0E52"/>
    <w:rsid w:val="2C975890"/>
    <w:rsid w:val="2D917B83"/>
    <w:rsid w:val="2DEF21BB"/>
    <w:rsid w:val="2E4A2F05"/>
    <w:rsid w:val="2ECC1061"/>
    <w:rsid w:val="2FA476AD"/>
    <w:rsid w:val="303F7540"/>
    <w:rsid w:val="31DD00BF"/>
    <w:rsid w:val="3293174C"/>
    <w:rsid w:val="32BB38D4"/>
    <w:rsid w:val="32C9376D"/>
    <w:rsid w:val="33780472"/>
    <w:rsid w:val="33AF0905"/>
    <w:rsid w:val="355932F4"/>
    <w:rsid w:val="35611882"/>
    <w:rsid w:val="36746FC3"/>
    <w:rsid w:val="368763AE"/>
    <w:rsid w:val="395D59E7"/>
    <w:rsid w:val="39A93932"/>
    <w:rsid w:val="3A915562"/>
    <w:rsid w:val="3B8D4765"/>
    <w:rsid w:val="3C000DBA"/>
    <w:rsid w:val="3DC045D3"/>
    <w:rsid w:val="3E504FFB"/>
    <w:rsid w:val="3E615CD0"/>
    <w:rsid w:val="3E9C47F6"/>
    <w:rsid w:val="3F8B0112"/>
    <w:rsid w:val="3FAB3095"/>
    <w:rsid w:val="3FE45947"/>
    <w:rsid w:val="41242965"/>
    <w:rsid w:val="435671EA"/>
    <w:rsid w:val="43597923"/>
    <w:rsid w:val="43693981"/>
    <w:rsid w:val="440809E9"/>
    <w:rsid w:val="442407A6"/>
    <w:rsid w:val="44805EA1"/>
    <w:rsid w:val="45710696"/>
    <w:rsid w:val="46142B1B"/>
    <w:rsid w:val="47E60DD0"/>
    <w:rsid w:val="48735039"/>
    <w:rsid w:val="492C684B"/>
    <w:rsid w:val="49500594"/>
    <w:rsid w:val="49E7604E"/>
    <w:rsid w:val="4BF67CDD"/>
    <w:rsid w:val="4D173441"/>
    <w:rsid w:val="4D603DD6"/>
    <w:rsid w:val="4EBF010F"/>
    <w:rsid w:val="4F471EB0"/>
    <w:rsid w:val="51331326"/>
    <w:rsid w:val="51740A7F"/>
    <w:rsid w:val="51A5541E"/>
    <w:rsid w:val="51C96242"/>
    <w:rsid w:val="53906AE1"/>
    <w:rsid w:val="5413672B"/>
    <w:rsid w:val="54F46F60"/>
    <w:rsid w:val="55A37BEA"/>
    <w:rsid w:val="56362CD2"/>
    <w:rsid w:val="5784687B"/>
    <w:rsid w:val="57846959"/>
    <w:rsid w:val="578E6A87"/>
    <w:rsid w:val="5AC2203A"/>
    <w:rsid w:val="5BE6789A"/>
    <w:rsid w:val="5CBB3334"/>
    <w:rsid w:val="5D115FAF"/>
    <w:rsid w:val="62811722"/>
    <w:rsid w:val="62E75A72"/>
    <w:rsid w:val="64571880"/>
    <w:rsid w:val="649125B6"/>
    <w:rsid w:val="652F4C1A"/>
    <w:rsid w:val="666D37F1"/>
    <w:rsid w:val="67087D8F"/>
    <w:rsid w:val="671F687E"/>
    <w:rsid w:val="67F415F8"/>
    <w:rsid w:val="682640D1"/>
    <w:rsid w:val="684B73E5"/>
    <w:rsid w:val="6A047A2A"/>
    <w:rsid w:val="6EFB7548"/>
    <w:rsid w:val="6F3831C3"/>
    <w:rsid w:val="6F8B71C1"/>
    <w:rsid w:val="70753482"/>
    <w:rsid w:val="707B522A"/>
    <w:rsid w:val="73194D05"/>
    <w:rsid w:val="73A83B0E"/>
    <w:rsid w:val="744D3EF9"/>
    <w:rsid w:val="74794411"/>
    <w:rsid w:val="75867C40"/>
    <w:rsid w:val="75B10B26"/>
    <w:rsid w:val="76432199"/>
    <w:rsid w:val="76F44829"/>
    <w:rsid w:val="77A267C0"/>
    <w:rsid w:val="77DE08E1"/>
    <w:rsid w:val="78882278"/>
    <w:rsid w:val="78B118A6"/>
    <w:rsid w:val="79135044"/>
    <w:rsid w:val="7A7D0F99"/>
    <w:rsid w:val="7E4A0E7C"/>
    <w:rsid w:val="7EFD44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unhideWhenUsed/>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pPr>
      <w:jc w:val="center"/>
    </w:pPr>
    <w:rPr>
      <w:rFonts w:eastAsia="黑体"/>
      <w:sz w:val="36"/>
      <w:szCs w:val="20"/>
    </w:rPr>
  </w:style>
  <w:style w:type="paragraph" w:styleId="4">
    <w:name w:val="Balloon Text"/>
    <w:basedOn w:val="1"/>
    <w:link w:val="13"/>
    <w:unhideWhenUsed/>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unhideWhenUsed/>
    <w:uiPriority w:val="99"/>
    <w:rPr>
      <w:color w:val="800080"/>
      <w:u w:val="single"/>
    </w:rPr>
  </w:style>
  <w:style w:type="character" w:styleId="12">
    <w:name w:val="Hyperlink"/>
    <w:unhideWhenUsed/>
    <w:qFormat/>
    <w:uiPriority w:val="99"/>
    <w:rPr>
      <w:color w:val="0000FF"/>
      <w:u w:val="single"/>
    </w:rPr>
  </w:style>
  <w:style w:type="character" w:customStyle="1" w:styleId="13">
    <w:name w:val="批注框文本 Char"/>
    <w:link w:val="4"/>
    <w:semiHidden/>
    <w:uiPriority w:val="99"/>
    <w:rPr>
      <w:kern w:val="2"/>
      <w:sz w:val="18"/>
      <w:szCs w:val="18"/>
    </w:rPr>
  </w:style>
  <w:style w:type="character" w:customStyle="1" w:styleId="14">
    <w:name w:val="页脚 Char"/>
    <w:link w:val="5"/>
    <w:qFormat/>
    <w:uiPriority w:val="99"/>
    <w:rPr>
      <w:kern w:val="2"/>
      <w:sz w:val="18"/>
      <w:szCs w:val="18"/>
    </w:rPr>
  </w:style>
  <w:style w:type="character" w:customStyle="1" w:styleId="15">
    <w:name w:val="页眉 Char"/>
    <w:link w:val="6"/>
    <w:qFormat/>
    <w:uiPriority w:val="99"/>
    <w:rPr>
      <w:kern w:val="2"/>
      <w:sz w:val="18"/>
      <w:szCs w:val="18"/>
    </w:rPr>
  </w:style>
  <w:style w:type="character" w:customStyle="1" w:styleId="16">
    <w:name w:val="font01"/>
    <w:qFormat/>
    <w:uiPriority w:val="0"/>
    <w:rPr>
      <w:rFonts w:hint="eastAsia" w:ascii="宋体" w:hAnsi="宋体" w:eastAsia="宋体" w:cs="宋体"/>
      <w:color w:val="000000"/>
      <w:sz w:val="22"/>
      <w:szCs w:val="22"/>
      <w:u w:val="none"/>
    </w:rPr>
  </w:style>
  <w:style w:type="character" w:customStyle="1" w:styleId="17">
    <w:name w:val="font21"/>
    <w:qFormat/>
    <w:uiPriority w:val="0"/>
    <w:rPr>
      <w:rFonts w:hint="eastAsia" w:ascii="宋体" w:hAnsi="宋体" w:eastAsia="宋体" w:cs="宋体"/>
      <w:color w:val="000000"/>
      <w:sz w:val="22"/>
      <w:szCs w:val="22"/>
      <w:u w:val="none"/>
    </w:rPr>
  </w:style>
  <w:style w:type="character" w:customStyle="1" w:styleId="18">
    <w:name w:val="font51"/>
    <w:qFormat/>
    <w:uiPriority w:val="0"/>
    <w:rPr>
      <w:rFonts w:hint="eastAsia" w:ascii="宋体" w:hAnsi="宋体" w:eastAsia="宋体" w:cs="宋体"/>
      <w:color w:val="000000"/>
      <w:sz w:val="24"/>
      <w:szCs w:val="24"/>
      <w:u w:val="none"/>
    </w:rPr>
  </w:style>
  <w:style w:type="character" w:customStyle="1" w:styleId="19">
    <w:name w:val="font11"/>
    <w:qFormat/>
    <w:uiPriority w:val="0"/>
    <w:rPr>
      <w:rFonts w:hint="eastAsia" w:ascii="宋体" w:hAnsi="宋体" w:eastAsia="宋体" w:cs="宋体"/>
      <w:color w:val="000000"/>
      <w:sz w:val="20"/>
      <w:szCs w:val="20"/>
      <w:u w:val="none"/>
    </w:rPr>
  </w:style>
  <w:style w:type="character" w:customStyle="1" w:styleId="20">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28</Pages>
  <Words>6679</Words>
  <Characters>7860</Characters>
  <Lines>60</Lines>
  <Paragraphs>16</Paragraphs>
  <TotalTime>22</TotalTime>
  <ScaleCrop>false</ScaleCrop>
  <LinksUpToDate>false</LinksUpToDate>
  <CharactersWithSpaces>8045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Administrator</cp:lastModifiedBy>
  <cp:lastPrinted>2018-07-24T10:50:00Z</cp:lastPrinted>
  <dcterms:modified xsi:type="dcterms:W3CDTF">2022-09-15T08:48:06Z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F11A6FA7B8544622BC0F97D221387E39</vt:lpwstr>
  </property>
</Properties>
</file>