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lang w:eastAsia="zh-CN"/>
        </w:rPr>
        <w:t>20</w:t>
      </w:r>
      <w:r>
        <w:rPr>
          <w:rFonts w:hint="eastAsia" w:ascii="黑体" w:hAnsi="黑体" w:eastAsia="黑体" w:cs="黑体"/>
          <w:color w:val="auto"/>
          <w:sz w:val="52"/>
          <w:szCs w:val="52"/>
          <w:highlight w:val="none"/>
          <w:lang w:val="en-US" w:eastAsia="zh-CN"/>
        </w:rPr>
        <w:t>21</w:t>
      </w:r>
      <w:r>
        <w:rPr>
          <w:rFonts w:hint="eastAsia" w:ascii="黑体" w:hAnsi="黑体" w:eastAsia="黑体" w:cs="黑体"/>
          <w:color w:val="auto"/>
          <w:sz w:val="52"/>
          <w:szCs w:val="52"/>
          <w:highlight w:val="none"/>
          <w:lang w:eastAsia="zh-CN"/>
        </w:rPr>
        <w:t>年度</w:t>
      </w:r>
    </w:p>
    <w:p>
      <w:pPr>
        <w:jc w:val="center"/>
        <w:rPr>
          <w:rFonts w:hint="eastAsia" w:ascii="黑体" w:hAnsi="黑体" w:eastAsia="黑体" w:cs="黑体"/>
          <w:color w:val="auto"/>
          <w:sz w:val="52"/>
          <w:szCs w:val="52"/>
          <w:highlight w:val="none"/>
          <w:lang w:eastAsia="zh-CN"/>
        </w:rPr>
      </w:pPr>
      <w:r>
        <w:rPr>
          <w:rFonts w:hint="eastAsia" w:ascii="黑体" w:hAnsi="黑体" w:eastAsia="黑体" w:cs="黑体"/>
          <w:color w:val="auto"/>
          <w:sz w:val="52"/>
          <w:szCs w:val="52"/>
          <w:highlight w:val="none"/>
          <w:lang w:eastAsia="zh-CN"/>
        </w:rPr>
        <w:t>许昌市建安区住房和城乡建设局</w:t>
      </w:r>
    </w:p>
    <w:p>
      <w:pPr>
        <w:jc w:val="center"/>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rPr>
        <w:t>部门决算</w:t>
      </w: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32"/>
          <w:szCs w:val="32"/>
          <w:highlight w:val="none"/>
          <w:lang w:eastAsia="zh-CN"/>
        </w:rPr>
        <w:sectPr>
          <w:pgSz w:w="11906" w:h="16838"/>
          <w:pgMar w:top="1440" w:right="1531" w:bottom="1440" w:left="1587" w:header="850" w:footer="992" w:gutter="0"/>
          <w:pgBorders>
            <w:top w:val="none" w:sz="0" w:space="0"/>
            <w:left w:val="none" w:sz="0" w:space="0"/>
            <w:bottom w:val="none" w:sz="0" w:space="0"/>
            <w:right w:val="none" w:sz="0" w:space="0"/>
          </w:pgBorders>
          <w:pgNumType w:fmt="numberInDash"/>
          <w:cols w:space="720" w:num="1"/>
          <w:rtlGutter w:val="0"/>
          <w:docGrid w:type="lines" w:linePitch="317" w:charSpace="0"/>
        </w:sectPr>
      </w:pPr>
      <w:r>
        <w:rPr>
          <w:rFonts w:hint="eastAsia" w:ascii="黑体" w:hAnsi="黑体" w:eastAsia="黑体" w:cs="黑体"/>
          <w:color w:val="auto"/>
          <w:sz w:val="32"/>
          <w:szCs w:val="32"/>
          <w:highlight w:val="none"/>
          <w:lang w:eastAsia="zh-CN"/>
        </w:rPr>
        <w:t>二〇</w:t>
      </w:r>
      <w:r>
        <w:rPr>
          <w:rFonts w:hint="eastAsia" w:ascii="黑体" w:hAnsi="黑体" w:eastAsia="黑体" w:cs="黑体"/>
          <w:color w:val="auto"/>
          <w:sz w:val="32"/>
          <w:szCs w:val="32"/>
          <w:highlight w:val="none"/>
          <w:lang w:val="en-US" w:eastAsia="zh-CN"/>
        </w:rPr>
        <w:t>二二</w:t>
      </w:r>
      <w:r>
        <w:rPr>
          <w:rFonts w:hint="eastAsia" w:ascii="黑体" w:hAnsi="黑体" w:eastAsia="黑体" w:cs="黑体"/>
          <w:color w:val="auto"/>
          <w:sz w:val="32"/>
          <w:szCs w:val="32"/>
          <w:highlight w:val="none"/>
          <w:lang w:eastAsia="zh-CN"/>
        </w:rPr>
        <w:t>年</w:t>
      </w: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lang w:eastAsia="zh-CN"/>
        </w:rPr>
        <w:t>月</w:t>
      </w:r>
    </w:p>
    <w:p>
      <w:pPr>
        <w:jc w:val="center"/>
        <w:rPr>
          <w:rFonts w:ascii="黑体" w:hAnsi="黑体" w:eastAsia="黑体" w:cs="黑体"/>
          <w:color w:val="auto"/>
          <w:sz w:val="36"/>
          <w:szCs w:val="36"/>
          <w:highlight w:val="none"/>
        </w:rPr>
      </w:pPr>
      <w:r>
        <w:rPr>
          <w:rFonts w:hint="eastAsia" w:ascii="黑体" w:hAnsi="黑体" w:eastAsia="黑体" w:cs="黑体"/>
          <w:color w:val="auto"/>
          <w:sz w:val="36"/>
          <w:szCs w:val="36"/>
          <w:highlight w:val="none"/>
        </w:rPr>
        <w:t>目　　录</w:t>
      </w:r>
    </w:p>
    <w:p>
      <w:pPr>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第一部分　</w:t>
      </w:r>
      <w:r>
        <w:rPr>
          <w:rFonts w:hint="eastAsia" w:ascii="黑体" w:hAnsi="黑体" w:eastAsia="黑体" w:cs="黑体"/>
          <w:color w:val="auto"/>
          <w:sz w:val="32"/>
          <w:szCs w:val="32"/>
          <w:highlight w:val="none"/>
          <w:lang w:eastAsia="zh-CN"/>
        </w:rPr>
        <w:t>许昌市建安区住房和城乡建设局</w:t>
      </w:r>
      <w:r>
        <w:rPr>
          <w:rFonts w:hint="eastAsia" w:ascii="黑体" w:hAnsi="黑体" w:eastAsia="黑体" w:cs="黑体"/>
          <w:color w:val="auto"/>
          <w:sz w:val="32"/>
          <w:szCs w:val="32"/>
          <w:highlight w:val="none"/>
        </w:rPr>
        <w:t>概况</w:t>
      </w:r>
    </w:p>
    <w:p>
      <w:pPr>
        <w:numPr>
          <w:ilvl w:val="0"/>
          <w:numId w:val="1"/>
        </w:num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部门职责</w:t>
      </w:r>
    </w:p>
    <w:p>
      <w:pPr>
        <w:numPr>
          <w:ilvl w:val="0"/>
          <w:numId w:val="1"/>
        </w:num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机构设置</w:t>
      </w:r>
    </w:p>
    <w:p>
      <w:pPr>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二</w:t>
      </w:r>
      <w:r>
        <w:rPr>
          <w:rFonts w:hint="eastAsia" w:ascii="黑体" w:hAnsi="黑体" w:eastAsia="黑体" w:cs="黑体"/>
          <w:color w:val="auto"/>
          <w:sz w:val="32"/>
          <w:szCs w:val="32"/>
          <w:highlight w:val="none"/>
        </w:rPr>
        <w:t>部分　　</w:t>
      </w:r>
      <w:r>
        <w:rPr>
          <w:rFonts w:hint="eastAsia" w:ascii="黑体" w:hAnsi="黑体" w:eastAsia="黑体" w:cs="黑体"/>
          <w:color w:val="auto"/>
          <w:sz w:val="32"/>
          <w:szCs w:val="32"/>
          <w:highlight w:val="none"/>
          <w:lang w:eastAsia="zh-CN"/>
        </w:rPr>
        <w:t>20</w:t>
      </w:r>
      <w:r>
        <w:rPr>
          <w:rFonts w:hint="eastAsia" w:ascii="黑体" w:hAnsi="黑体" w:eastAsia="黑体" w:cs="黑体"/>
          <w:color w:val="auto"/>
          <w:sz w:val="32"/>
          <w:szCs w:val="32"/>
          <w:highlight w:val="none"/>
          <w:lang w:val="en-US" w:eastAsia="zh-CN"/>
        </w:rPr>
        <w:t>21</w:t>
      </w:r>
      <w:r>
        <w:rPr>
          <w:rFonts w:hint="eastAsia" w:ascii="黑体" w:hAnsi="黑体" w:eastAsia="黑体" w:cs="黑体"/>
          <w:color w:val="auto"/>
          <w:sz w:val="32"/>
          <w:szCs w:val="32"/>
          <w:highlight w:val="none"/>
          <w:lang w:eastAsia="zh-CN"/>
        </w:rPr>
        <w:t>年度</w:t>
      </w:r>
      <w:r>
        <w:rPr>
          <w:rFonts w:hint="eastAsia" w:ascii="黑体" w:hAnsi="黑体" w:eastAsia="黑体" w:cs="黑体"/>
          <w:color w:val="auto"/>
          <w:sz w:val="32"/>
          <w:szCs w:val="32"/>
          <w:highlight w:val="none"/>
        </w:rPr>
        <w:t>部门决算表</w:t>
      </w:r>
    </w:p>
    <w:p>
      <w:p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一、收入支出决算总表</w:t>
      </w:r>
    </w:p>
    <w:p>
      <w:p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二、收入决算表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四、财政拨款收入支出决算总表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五、一般公共预算财政拨款支出决算表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六、一般公共预算财政拨款基本支出决算表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七、一般公共预算财政拨款“三公”经费支出决算表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八、政府性基金预算财政拨款收入支出决算表</w:t>
      </w:r>
    </w:p>
    <w:p>
      <w:pPr>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三</w:t>
      </w:r>
      <w:r>
        <w:rPr>
          <w:rFonts w:hint="eastAsia" w:ascii="黑体" w:hAnsi="黑体" w:eastAsia="黑体" w:cs="黑体"/>
          <w:color w:val="auto"/>
          <w:sz w:val="32"/>
          <w:szCs w:val="32"/>
          <w:highlight w:val="none"/>
        </w:rPr>
        <w:t>部分　　</w:t>
      </w:r>
      <w:r>
        <w:rPr>
          <w:rFonts w:hint="eastAsia" w:ascii="黑体" w:hAnsi="黑体" w:eastAsia="黑体" w:cs="黑体"/>
          <w:color w:val="auto"/>
          <w:sz w:val="32"/>
          <w:szCs w:val="32"/>
          <w:highlight w:val="none"/>
          <w:lang w:eastAsia="zh-CN"/>
        </w:rPr>
        <w:t>20</w:t>
      </w:r>
      <w:r>
        <w:rPr>
          <w:rFonts w:hint="eastAsia" w:ascii="黑体" w:hAnsi="黑体" w:eastAsia="黑体" w:cs="黑体"/>
          <w:color w:val="auto"/>
          <w:sz w:val="32"/>
          <w:szCs w:val="32"/>
          <w:highlight w:val="none"/>
          <w:lang w:val="en-US" w:eastAsia="zh-CN"/>
        </w:rPr>
        <w:t>21</w:t>
      </w:r>
      <w:r>
        <w:rPr>
          <w:rFonts w:hint="eastAsia" w:ascii="黑体" w:hAnsi="黑体" w:eastAsia="黑体" w:cs="黑体"/>
          <w:color w:val="auto"/>
          <w:sz w:val="32"/>
          <w:szCs w:val="32"/>
          <w:highlight w:val="none"/>
          <w:lang w:eastAsia="zh-CN"/>
        </w:rPr>
        <w:t>年度</w:t>
      </w:r>
      <w:r>
        <w:rPr>
          <w:rFonts w:hint="eastAsia" w:ascii="黑体" w:hAnsi="黑体" w:eastAsia="黑体" w:cs="黑体"/>
          <w:color w:val="auto"/>
          <w:sz w:val="32"/>
          <w:szCs w:val="32"/>
          <w:highlight w:val="none"/>
        </w:rPr>
        <w:t>部门决算情况说明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一、收入支出决算总体情况说明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二、收入决算情况说明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四、财政拨款收入支出决算总体情况说明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五、一般公共预算财政拨款支出决算情况说明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六、一般公共预算财政拨款基本支出决算情况说明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七、一般公共预算财政拨款“三公”经费支出决算情况说明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八、预算绩效情况说明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九、政府性基金预算财政拨款支出决算情况说明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十、机关运行经费支出情况</w:t>
      </w:r>
      <w:r>
        <w:rPr>
          <w:rFonts w:hint="eastAsia" w:ascii="宋体" w:hAnsi="宋体" w:eastAsia="宋体" w:cs="宋体"/>
          <w:color w:val="auto"/>
          <w:sz w:val="32"/>
          <w:szCs w:val="32"/>
          <w:highlight w:val="none"/>
          <w:lang w:eastAsia="zh-CN"/>
        </w:rPr>
        <w:t>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十一、</w:t>
      </w:r>
      <w:r>
        <w:rPr>
          <w:rFonts w:hint="eastAsia" w:ascii="宋体" w:hAnsi="宋体" w:eastAsia="宋体" w:cs="宋体"/>
          <w:color w:val="auto"/>
          <w:sz w:val="32"/>
          <w:szCs w:val="32"/>
          <w:highlight w:val="none"/>
        </w:rPr>
        <w:t>政府采购支出情况</w:t>
      </w:r>
      <w:r>
        <w:rPr>
          <w:rFonts w:hint="eastAsia" w:ascii="宋体" w:hAnsi="宋体" w:eastAsia="宋体" w:cs="宋体"/>
          <w:color w:val="auto"/>
          <w:sz w:val="32"/>
          <w:szCs w:val="32"/>
          <w:highlight w:val="none"/>
          <w:lang w:eastAsia="zh-CN"/>
        </w:rPr>
        <w:t>说明</w:t>
      </w:r>
    </w:p>
    <w:p>
      <w:pPr>
        <w:ind w:firstLine="640" w:firstLineChars="200"/>
        <w:jc w:val="left"/>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十二、国有资产占用情况说明</w:t>
      </w:r>
    </w:p>
    <w:p>
      <w:pPr>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四</w:t>
      </w:r>
      <w:r>
        <w:rPr>
          <w:rFonts w:hint="eastAsia" w:ascii="黑体" w:hAnsi="黑体" w:eastAsia="黑体" w:cs="黑体"/>
          <w:color w:val="auto"/>
          <w:sz w:val="32"/>
          <w:szCs w:val="32"/>
          <w:highlight w:val="none"/>
        </w:rPr>
        <w:t>部分　　名词解释</w:t>
      </w:r>
    </w:p>
    <w:p>
      <w:pPr>
        <w:ind w:firstLine="640" w:firstLineChars="200"/>
        <w:jc w:val="left"/>
        <w:rPr>
          <w:rFonts w:ascii="宋体" w:hAnsi="宋体" w:eastAsia="宋体" w:cs="宋体"/>
          <w:color w:val="auto"/>
          <w:sz w:val="32"/>
          <w:szCs w:val="32"/>
          <w:highlight w:val="none"/>
        </w:rPr>
      </w:pPr>
    </w:p>
    <w:p>
      <w:pPr>
        <w:jc w:val="left"/>
        <w:rPr>
          <w:rFonts w:hint="eastAsia" w:ascii="黑体" w:hAnsi="黑体" w:eastAsia="黑体" w:cs="黑体"/>
          <w:color w:val="auto"/>
          <w:sz w:val="32"/>
          <w:szCs w:val="32"/>
          <w:highlight w:val="none"/>
        </w:rPr>
        <w:sectPr>
          <w:footerReference r:id="rId3" w:type="default"/>
          <w:footerReference r:id="rId4" w:type="even"/>
          <w:pgSz w:w="11906" w:h="16838"/>
          <w:pgMar w:top="1440" w:right="1531" w:bottom="1440" w:left="1587" w:header="850" w:footer="992" w:gutter="0"/>
          <w:pgBorders>
            <w:top w:val="none" w:sz="0" w:space="0"/>
            <w:left w:val="none" w:sz="0" w:space="0"/>
            <w:bottom w:val="none" w:sz="0" w:space="0"/>
            <w:right w:val="none" w:sz="0" w:space="0"/>
          </w:pgBorders>
          <w:pgNumType w:fmt="numberInDash" w:start="1"/>
          <w:cols w:space="720" w:num="1"/>
          <w:rtlGutter w:val="0"/>
          <w:docGrid w:type="lines" w:linePitch="317" w:charSpace="0"/>
        </w:sect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center"/>
        <w:outlineLvl w:val="0"/>
        <w:rPr>
          <w:rFonts w:hint="eastAsia" w:ascii="黑体" w:hAnsi="宋体" w:eastAsia="黑体" w:cs="宋体"/>
          <w:color w:val="auto"/>
          <w:kern w:val="0"/>
          <w:sz w:val="28"/>
          <w:szCs w:val="28"/>
          <w:highlight w:val="none"/>
          <w:lang w:val="en-US" w:eastAsia="zh-CN"/>
        </w:rPr>
      </w:pPr>
      <w:r>
        <w:rPr>
          <w:rFonts w:hint="eastAsia" w:ascii="黑体" w:hAnsi="黑体" w:eastAsia="黑体" w:cs="黑体"/>
          <w:color w:val="auto"/>
          <w:sz w:val="48"/>
          <w:szCs w:val="48"/>
          <w:highlight w:val="none"/>
        </w:rPr>
        <w:t>第一部分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lang w:eastAsia="zh-CN"/>
        </w:rPr>
        <w:t>许昌市建安区住房和城乡建设局</w:t>
      </w:r>
      <w:r>
        <w:rPr>
          <w:rFonts w:hint="eastAsia" w:ascii="黑体" w:hAnsi="黑体" w:eastAsia="黑体" w:cs="黑体"/>
          <w:color w:val="auto"/>
          <w:sz w:val="48"/>
          <w:szCs w:val="48"/>
          <w:highlight w:val="none"/>
        </w:rPr>
        <w:t>概况</w:t>
      </w: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sectPr>
          <w:pgSz w:w="11906" w:h="16838"/>
          <w:pgMar w:top="1440" w:right="1800" w:bottom="1440" w:left="1800" w:header="720" w:footer="720" w:gutter="0"/>
          <w:pgBorders>
            <w:top w:val="none" w:sz="0" w:space="0"/>
            <w:left w:val="none" w:sz="0" w:space="0"/>
            <w:bottom w:val="none" w:sz="0" w:space="0"/>
            <w:right w:val="none" w:sz="0" w:space="0"/>
          </w:pgBorders>
          <w:pgNumType w:fmt="numberInDash"/>
          <w:cols w:space="720" w:num="1"/>
          <w:docGrid w:type="lines" w:linePitch="312" w:charSpace="0"/>
        </w:sectPr>
      </w:pPr>
    </w:p>
    <w:p>
      <w:pPr>
        <w:widowControl/>
        <w:ind w:firstLine="640" w:firstLineChars="200"/>
        <w:jc w:val="left"/>
        <w:outlineLvl w:val="1"/>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一、部门</w:t>
      </w:r>
      <w:r>
        <w:rPr>
          <w:rFonts w:hint="eastAsia" w:ascii="黑体" w:hAnsi="黑体" w:eastAsia="黑体" w:cs="黑体"/>
          <w:bCs/>
          <w:sz w:val="32"/>
          <w:szCs w:val="32"/>
          <w:highlight w:val="none"/>
        </w:rPr>
        <w:t>职责</w:t>
      </w:r>
    </w:p>
    <w:p>
      <w:pPr>
        <w:spacing w:line="60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负责城镇中低收入群体住房保障工作；</w:t>
      </w:r>
    </w:p>
    <w:p>
      <w:pPr>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2.承担推进住房制度改革</w:t>
      </w:r>
      <w:r>
        <w:rPr>
          <w:rFonts w:hint="eastAsia" w:ascii="仿宋_GB2312" w:hAnsi="宋体" w:eastAsia="仿宋_GB2312" w:cs="宋体"/>
          <w:kern w:val="0"/>
          <w:sz w:val="32"/>
          <w:szCs w:val="32"/>
          <w:lang w:val="en-US" w:eastAsia="zh-CN"/>
        </w:rPr>
        <w:t>和住房发展</w:t>
      </w:r>
      <w:r>
        <w:rPr>
          <w:rFonts w:hint="eastAsia" w:ascii="仿宋_GB2312" w:hAnsi="宋体" w:eastAsia="仿宋_GB2312" w:cs="宋体"/>
          <w:kern w:val="0"/>
          <w:sz w:val="32"/>
          <w:szCs w:val="32"/>
        </w:rPr>
        <w:t>的责任；</w:t>
      </w:r>
    </w:p>
    <w:p>
      <w:pPr>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w:t>
      </w:r>
      <w:r>
        <w:rPr>
          <w:rFonts w:hint="eastAsia" w:ascii="仿宋_GB2312" w:hAnsi="宋体" w:eastAsia="仿宋_GB2312" w:cs="宋体"/>
          <w:kern w:val="0"/>
          <w:sz w:val="32"/>
          <w:szCs w:val="32"/>
          <w:lang w:val="en-US" w:eastAsia="zh-CN"/>
        </w:rPr>
        <w:t>负责房地产市场监督管理工作</w:t>
      </w:r>
      <w:r>
        <w:rPr>
          <w:rFonts w:hint="eastAsia" w:ascii="仿宋_GB2312" w:hAnsi="宋体" w:eastAsia="仿宋_GB2312" w:cs="宋体"/>
          <w:kern w:val="0"/>
          <w:sz w:val="32"/>
          <w:szCs w:val="32"/>
        </w:rPr>
        <w:t>；</w:t>
      </w:r>
    </w:p>
    <w:p>
      <w:pPr>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4.承担建筑市场监督管理的责任、</w:t>
      </w:r>
      <w:r>
        <w:rPr>
          <w:rFonts w:hint="eastAsia" w:ascii="仿宋_GB2312" w:hAnsi="宋体" w:eastAsia="仿宋_GB2312" w:cs="宋体"/>
          <w:kern w:val="0"/>
          <w:sz w:val="32"/>
          <w:szCs w:val="32"/>
          <w:lang w:val="en-US" w:eastAsia="zh-CN"/>
        </w:rPr>
        <w:t>指导</w:t>
      </w:r>
      <w:r>
        <w:rPr>
          <w:rFonts w:hint="eastAsia" w:ascii="仿宋_GB2312" w:hAnsi="宋体" w:eastAsia="仿宋_GB2312" w:cs="宋体"/>
          <w:kern w:val="0"/>
          <w:sz w:val="32"/>
          <w:szCs w:val="32"/>
        </w:rPr>
        <w:t>建安区村镇建设的责任；</w:t>
      </w:r>
    </w:p>
    <w:p>
      <w:pPr>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5.承担建筑工程质量安全监管的责任，承担推进建筑节能城镇减排的责任。</w:t>
      </w:r>
    </w:p>
    <w:p>
      <w:pPr>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6.负责建安区城建监察工作，依法查处各种建设违规违法案件；</w:t>
      </w:r>
    </w:p>
    <w:p>
      <w:pPr>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7.承担建安区城市市容市貌管理的责任；</w:t>
      </w:r>
    </w:p>
    <w:p>
      <w:pPr>
        <w:widowControl/>
        <w:ind w:firstLine="640" w:firstLineChars="200"/>
        <w:jc w:val="left"/>
        <w:outlineLvl w:val="1"/>
        <w:rPr>
          <w:rFonts w:hint="eastAsia" w:ascii="仿宋_GB2312" w:hAnsi="宋体" w:eastAsia="仿宋_GB2312" w:cs="宋体"/>
          <w:kern w:val="0"/>
          <w:sz w:val="32"/>
          <w:szCs w:val="32"/>
        </w:rPr>
      </w:pPr>
      <w:r>
        <w:rPr>
          <w:rFonts w:hint="eastAsia" w:ascii="仿宋_GB2312" w:hAnsi="宋体" w:eastAsia="仿宋_GB2312" w:cs="宋体"/>
          <w:kern w:val="0"/>
          <w:sz w:val="32"/>
          <w:szCs w:val="32"/>
        </w:rPr>
        <w:t>8.承办建安区人民政府交办的其他事项</w:t>
      </w:r>
    </w:p>
    <w:p>
      <w:pPr>
        <w:widowControl/>
        <w:ind w:firstLine="640" w:firstLineChars="200"/>
        <w:jc w:val="left"/>
        <w:outlineLvl w:val="1"/>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二、机构设置</w:t>
      </w:r>
    </w:p>
    <w:p>
      <w:pPr>
        <w:adjustRightInd w:val="0"/>
        <w:snapToGrid w:val="0"/>
        <w:spacing w:line="360" w:lineRule="auto"/>
        <w:ind w:firstLine="480" w:firstLineChars="150"/>
        <w:rPr>
          <w:rFonts w:hint="default" w:ascii="仿宋_GB2312" w:hAnsi="仿宋" w:eastAsia="仿宋_GB2312"/>
          <w:sz w:val="32"/>
          <w:szCs w:val="32"/>
          <w:lang w:val="en-US" w:eastAsia="zh-CN"/>
        </w:rPr>
      </w:pPr>
      <w:r>
        <w:rPr>
          <w:rFonts w:hint="eastAsia" w:ascii="仿宋_GB2312" w:hAnsi="仿宋" w:eastAsia="仿宋_GB2312"/>
          <w:sz w:val="32"/>
          <w:szCs w:val="32"/>
        </w:rPr>
        <w:t>许昌市</w:t>
      </w:r>
      <w:r>
        <w:rPr>
          <w:rFonts w:hint="eastAsia" w:ascii="仿宋_GB2312" w:hAnsi="仿宋" w:eastAsia="仿宋_GB2312"/>
          <w:sz w:val="32"/>
          <w:szCs w:val="32"/>
          <w:lang w:eastAsia="zh-CN"/>
        </w:rPr>
        <w:t>建安区</w:t>
      </w:r>
      <w:r>
        <w:rPr>
          <w:rFonts w:hint="eastAsia" w:ascii="仿宋_GB2312" w:hAnsi="仿宋" w:eastAsia="仿宋_GB2312"/>
          <w:sz w:val="32"/>
          <w:szCs w:val="32"/>
        </w:rPr>
        <w:t>住房和</w:t>
      </w:r>
      <w:r>
        <w:rPr>
          <w:rFonts w:hint="eastAsia" w:ascii="仿宋_GB2312" w:hAnsi="仿宋" w:eastAsia="仿宋_GB2312"/>
          <w:sz w:val="32"/>
          <w:szCs w:val="32"/>
          <w:lang w:eastAsia="zh-CN"/>
        </w:rPr>
        <w:t>城乡</w:t>
      </w:r>
      <w:r>
        <w:rPr>
          <w:rFonts w:hint="eastAsia" w:ascii="仿宋_GB2312" w:hAnsi="仿宋" w:eastAsia="仿宋_GB2312"/>
          <w:sz w:val="32"/>
          <w:szCs w:val="32"/>
        </w:rPr>
        <w:t>建设局下设</w:t>
      </w:r>
      <w:r>
        <w:rPr>
          <w:rFonts w:hint="eastAsia" w:ascii="仿宋_GB2312" w:hAnsi="仿宋" w:eastAsia="仿宋_GB2312"/>
          <w:sz w:val="32"/>
          <w:szCs w:val="32"/>
          <w:lang w:val="en-US" w:eastAsia="zh-CN"/>
        </w:rPr>
        <w:t>6</w:t>
      </w:r>
      <w:r>
        <w:rPr>
          <w:rFonts w:hint="eastAsia" w:ascii="仿宋_GB2312" w:hAnsi="仿宋" w:eastAsia="仿宋_GB2312"/>
          <w:sz w:val="32"/>
          <w:szCs w:val="32"/>
        </w:rPr>
        <w:t>个股室</w:t>
      </w:r>
      <w:r>
        <w:rPr>
          <w:rFonts w:hint="eastAsia" w:ascii="仿宋_GB2312" w:hAnsi="仿宋" w:eastAsia="仿宋_GB2312"/>
          <w:sz w:val="32"/>
          <w:szCs w:val="32"/>
          <w:lang w:eastAsia="zh-CN"/>
        </w:rPr>
        <w:t>，包括</w:t>
      </w:r>
      <w:r>
        <w:rPr>
          <w:rFonts w:hint="eastAsia" w:ascii="仿宋_GB2312" w:hAnsi="仿宋" w:eastAsia="仿宋_GB2312"/>
          <w:sz w:val="32"/>
          <w:szCs w:val="32"/>
        </w:rPr>
        <w:t>建安区住建局办公室</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行政审批与</w:t>
      </w:r>
      <w:r>
        <w:rPr>
          <w:rFonts w:hint="eastAsia" w:ascii="仿宋_GB2312" w:hAnsi="仿宋" w:eastAsia="仿宋_GB2312"/>
          <w:sz w:val="32"/>
          <w:szCs w:val="32"/>
        </w:rPr>
        <w:t>政策法规股</w:t>
      </w:r>
      <w:r>
        <w:rPr>
          <w:rFonts w:hint="eastAsia" w:ascii="仿宋_GB2312" w:hAnsi="仿宋" w:eastAsia="仿宋_GB2312"/>
          <w:sz w:val="32"/>
          <w:szCs w:val="32"/>
          <w:lang w:eastAsia="zh-CN"/>
        </w:rPr>
        <w:t>、</w:t>
      </w:r>
      <w:r>
        <w:rPr>
          <w:rFonts w:hint="eastAsia" w:ascii="仿宋_GB2312" w:hAnsi="仿宋" w:eastAsia="仿宋_GB2312"/>
          <w:sz w:val="32"/>
          <w:szCs w:val="32"/>
        </w:rPr>
        <w:t>住房保障</w:t>
      </w:r>
      <w:r>
        <w:rPr>
          <w:rFonts w:hint="eastAsia" w:ascii="仿宋_GB2312" w:hAnsi="仿宋" w:eastAsia="仿宋_GB2312"/>
          <w:sz w:val="32"/>
          <w:szCs w:val="32"/>
          <w:lang w:val="en-US" w:eastAsia="zh-CN"/>
        </w:rPr>
        <w:t>与房地产市场管理</w:t>
      </w:r>
      <w:r>
        <w:rPr>
          <w:rFonts w:hint="eastAsia" w:ascii="仿宋_GB2312" w:hAnsi="仿宋" w:eastAsia="仿宋_GB2312"/>
          <w:sz w:val="32"/>
          <w:szCs w:val="32"/>
        </w:rPr>
        <w:t>股</w:t>
      </w:r>
      <w:r>
        <w:rPr>
          <w:rFonts w:hint="eastAsia" w:ascii="仿宋_GB2312" w:hAnsi="仿宋" w:eastAsia="仿宋_GB2312"/>
          <w:sz w:val="32"/>
          <w:szCs w:val="32"/>
          <w:lang w:eastAsia="zh-CN"/>
        </w:rPr>
        <w:t>、</w:t>
      </w:r>
      <w:r>
        <w:rPr>
          <w:rFonts w:hint="eastAsia" w:ascii="仿宋_GB2312" w:hAnsi="仿宋" w:eastAsia="仿宋_GB2312"/>
          <w:sz w:val="32"/>
          <w:szCs w:val="32"/>
        </w:rPr>
        <w:t>建筑管理股</w:t>
      </w:r>
      <w:r>
        <w:rPr>
          <w:rFonts w:hint="eastAsia" w:ascii="仿宋_GB2312" w:hAnsi="仿宋" w:eastAsia="仿宋_GB2312"/>
          <w:sz w:val="32"/>
          <w:szCs w:val="32"/>
          <w:lang w:eastAsia="zh-CN"/>
        </w:rPr>
        <w:t>、</w:t>
      </w:r>
      <w:r>
        <w:rPr>
          <w:rFonts w:hint="eastAsia" w:ascii="仿宋_GB2312" w:hAnsi="仿宋" w:eastAsia="仿宋_GB2312"/>
          <w:sz w:val="32"/>
          <w:szCs w:val="32"/>
        </w:rPr>
        <w:t>城乡建设股</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建设工程消防验收</w:t>
      </w:r>
      <w:r>
        <w:rPr>
          <w:rFonts w:hint="eastAsia" w:ascii="仿宋_GB2312" w:hAnsi="仿宋" w:eastAsia="仿宋_GB2312"/>
          <w:sz w:val="32"/>
          <w:szCs w:val="32"/>
        </w:rPr>
        <w:t>股</w:t>
      </w:r>
      <w:r>
        <w:rPr>
          <w:rFonts w:hint="eastAsia" w:ascii="仿宋_GB2312" w:hAnsi="仿宋" w:eastAsia="仿宋_GB2312"/>
          <w:sz w:val="32"/>
          <w:szCs w:val="32"/>
          <w:lang w:eastAsia="zh-CN"/>
        </w:rPr>
        <w:t>。二级单位包括许昌市建安区住房和城乡建设局（本级）、许昌市建安市政管理处、许昌市建安区绿化管理处等共</w:t>
      </w:r>
      <w:r>
        <w:rPr>
          <w:rFonts w:hint="eastAsia" w:ascii="仿宋_GB2312" w:hAnsi="仿宋" w:eastAsia="仿宋_GB2312"/>
          <w:sz w:val="32"/>
          <w:szCs w:val="32"/>
          <w:lang w:val="en-US" w:eastAsia="zh-CN"/>
        </w:rPr>
        <w:t>10个单位。</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从决算单位构成看，</w:t>
      </w:r>
      <w:r>
        <w:rPr>
          <w:rFonts w:hint="eastAsia" w:ascii="仿宋_GB2312" w:hAnsi="仿宋" w:eastAsia="仿宋_GB2312"/>
          <w:sz w:val="32"/>
          <w:szCs w:val="32"/>
        </w:rPr>
        <w:t>许昌市</w:t>
      </w:r>
      <w:r>
        <w:rPr>
          <w:rFonts w:hint="eastAsia" w:ascii="仿宋_GB2312" w:hAnsi="仿宋" w:eastAsia="仿宋_GB2312"/>
          <w:sz w:val="32"/>
          <w:szCs w:val="32"/>
          <w:lang w:eastAsia="zh-CN"/>
        </w:rPr>
        <w:t>建安区</w:t>
      </w:r>
      <w:r>
        <w:rPr>
          <w:rFonts w:hint="eastAsia" w:ascii="仿宋_GB2312" w:hAnsi="仿宋" w:eastAsia="仿宋_GB2312"/>
          <w:sz w:val="32"/>
          <w:szCs w:val="32"/>
        </w:rPr>
        <w:t>住房和</w:t>
      </w:r>
      <w:r>
        <w:rPr>
          <w:rFonts w:hint="eastAsia" w:ascii="仿宋_GB2312" w:hAnsi="仿宋" w:eastAsia="仿宋_GB2312"/>
          <w:sz w:val="32"/>
          <w:szCs w:val="32"/>
          <w:lang w:eastAsia="zh-CN"/>
        </w:rPr>
        <w:t>城乡</w:t>
      </w:r>
      <w:r>
        <w:rPr>
          <w:rFonts w:hint="eastAsia" w:ascii="仿宋_GB2312" w:hAnsi="仿宋" w:eastAsia="仿宋_GB2312"/>
          <w:sz w:val="32"/>
          <w:szCs w:val="32"/>
        </w:rPr>
        <w:t>建设</w:t>
      </w:r>
      <w:r>
        <w:rPr>
          <w:rFonts w:hint="eastAsia" w:ascii="仿宋_GB2312" w:hAnsi="仿宋" w:eastAsia="仿宋_GB2312"/>
          <w:sz w:val="32"/>
          <w:szCs w:val="32"/>
          <w:lang w:eastAsia="zh-CN"/>
        </w:rPr>
        <w:t>局</w:t>
      </w:r>
      <w:r>
        <w:rPr>
          <w:rFonts w:hint="eastAsia" w:ascii="仿宋_GB2312" w:hAnsi="仿宋_GB2312" w:eastAsia="仿宋_GB2312" w:cs="仿宋_GB2312"/>
          <w:kern w:val="0"/>
          <w:sz w:val="32"/>
          <w:szCs w:val="32"/>
        </w:rPr>
        <w:t>部门决算包括：本级决算、所属单位决算。</w:t>
      </w:r>
    </w:p>
    <w:p>
      <w:pPr>
        <w:widowControl/>
        <w:ind w:firstLine="640" w:firstLineChars="200"/>
        <w:jc w:val="left"/>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本决算为汇总决算，纳入本部门2021年度部门决算编制范围的单位共9个，其中二级预算单位9个，具体是：</w:t>
      </w:r>
    </w:p>
    <w:p>
      <w:pPr>
        <w:widowControl/>
        <w:numPr>
          <w:ilvl w:val="0"/>
          <w:numId w:val="0"/>
        </w:numPr>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许昌市建安区住房和城乡建设局</w:t>
      </w:r>
      <w:r>
        <w:rPr>
          <w:rFonts w:hint="eastAsia" w:ascii="仿宋_GB2312" w:hAnsi="仿宋_GB2312" w:eastAsia="仿宋_GB2312" w:cs="仿宋_GB2312"/>
          <w:kern w:val="0"/>
          <w:sz w:val="32"/>
          <w:szCs w:val="32"/>
          <w:lang w:eastAsia="zh-CN"/>
        </w:rPr>
        <w:t>（本级）</w:t>
      </w:r>
    </w:p>
    <w:p>
      <w:pPr>
        <w:widowControl/>
        <w:numPr>
          <w:ilvl w:val="0"/>
          <w:numId w:val="0"/>
        </w:numPr>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2.许昌市建安区市政</w:t>
      </w:r>
      <w:r>
        <w:rPr>
          <w:rFonts w:hint="eastAsia" w:ascii="仿宋_GB2312" w:hAnsi="仿宋_GB2312" w:eastAsia="仿宋_GB2312" w:cs="仿宋_GB2312"/>
          <w:kern w:val="0"/>
          <w:sz w:val="32"/>
          <w:szCs w:val="32"/>
          <w:lang w:eastAsia="zh-CN"/>
        </w:rPr>
        <w:t>管护所</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.许昌市建安区建设工程质量监督站</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.许昌市建安区建筑工程标准定额管理站</w:t>
      </w:r>
    </w:p>
    <w:p>
      <w:pPr>
        <w:widowControl/>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.许昌市建安区</w:t>
      </w:r>
      <w:r>
        <w:rPr>
          <w:rFonts w:hint="eastAsia" w:ascii="仿宋_GB2312" w:hAnsi="仿宋_GB2312" w:eastAsia="仿宋_GB2312" w:cs="仿宋_GB2312"/>
          <w:kern w:val="0"/>
          <w:sz w:val="32"/>
          <w:szCs w:val="32"/>
          <w:lang w:eastAsia="zh-CN"/>
        </w:rPr>
        <w:t>房屋征收中心</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.许昌市建安区城建监察大队</w:t>
      </w:r>
    </w:p>
    <w:p>
      <w:pPr>
        <w:widowControl/>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.许昌市建安区</w:t>
      </w:r>
      <w:r>
        <w:rPr>
          <w:rFonts w:hint="eastAsia" w:ascii="仿宋_GB2312" w:hAnsi="仿宋_GB2312" w:eastAsia="仿宋_GB2312" w:cs="仿宋_GB2312"/>
          <w:kern w:val="0"/>
          <w:sz w:val="32"/>
          <w:szCs w:val="32"/>
          <w:lang w:eastAsia="zh-CN"/>
        </w:rPr>
        <w:t>房产管理局</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8、许昌市建安区室内装饰行业发展服务中心</w:t>
      </w:r>
    </w:p>
    <w:p>
      <w:pPr>
        <w:widowControl/>
        <w:ind w:firstLine="640" w:firstLineChars="200"/>
        <w:jc w:val="left"/>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lang w:val="en-US" w:eastAsia="zh-CN"/>
        </w:rPr>
        <w:t>9、许昌市建安区城镇住房制度改革办公室</w:t>
      </w:r>
    </w:p>
    <w:p>
      <w:pPr>
        <w:widowControl/>
        <w:jc w:val="left"/>
        <w:rPr>
          <w:rFonts w:hint="default" w:ascii="仿宋_GB2312" w:hAnsi="仿宋_GB2312" w:eastAsia="仿宋_GB2312" w:cs="仿宋_GB2312"/>
          <w:kern w:val="0"/>
          <w:sz w:val="32"/>
          <w:szCs w:val="32"/>
          <w:lang w:val="en-US" w:eastAsia="zh-CN"/>
        </w:rPr>
      </w:pPr>
      <w:r>
        <w:rPr>
          <w:rFonts w:hint="eastAsia" w:ascii="黑体" w:hAnsi="宋体" w:eastAsia="黑体" w:cs="宋体"/>
          <w:color w:val="auto"/>
          <w:kern w:val="0"/>
          <w:sz w:val="28"/>
          <w:szCs w:val="28"/>
          <w:highlight w:val="none"/>
          <w:lang w:val="en-US" w:eastAsia="zh-CN"/>
        </w:rPr>
        <w:t xml:space="preserve">    </w:t>
      </w: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宋体" w:eastAsia="黑体" w:cs="宋体"/>
          <w:color w:val="auto"/>
          <w:kern w:val="0"/>
          <w:sz w:val="28"/>
          <w:szCs w:val="28"/>
          <w:highlight w:val="none"/>
          <w:lang w:val="en-US" w:eastAsia="zh-CN"/>
        </w:rPr>
        <w:sectPr>
          <w:pgSz w:w="11906" w:h="16838"/>
          <w:pgMar w:top="1440" w:right="1800" w:bottom="1440" w:left="1800" w:header="720" w:footer="720"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黑体" w:hAnsi="黑体" w:eastAsia="黑体" w:cs="黑体"/>
          <w:color w:val="auto"/>
          <w:sz w:val="48"/>
          <w:szCs w:val="48"/>
          <w:highlight w:val="none"/>
        </w:rPr>
        <w:t>第</w:t>
      </w:r>
      <w:r>
        <w:rPr>
          <w:rFonts w:hint="eastAsia" w:ascii="黑体" w:hAnsi="黑体" w:eastAsia="黑体" w:cs="黑体"/>
          <w:color w:val="auto"/>
          <w:sz w:val="48"/>
          <w:szCs w:val="48"/>
          <w:highlight w:val="none"/>
          <w:lang w:eastAsia="zh-CN"/>
        </w:rPr>
        <w:t>二</w:t>
      </w:r>
      <w:r>
        <w:rPr>
          <w:rFonts w:hint="eastAsia" w:ascii="黑体" w:hAnsi="黑体" w:eastAsia="黑体" w:cs="黑体"/>
          <w:color w:val="auto"/>
          <w:sz w:val="48"/>
          <w:szCs w:val="48"/>
          <w:highlight w:val="none"/>
        </w:rPr>
        <w:t>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lang w:eastAsia="zh-CN"/>
        </w:rPr>
        <w:t>20</w:t>
      </w:r>
      <w:r>
        <w:rPr>
          <w:rFonts w:hint="eastAsia" w:ascii="黑体" w:hAnsi="黑体" w:eastAsia="黑体" w:cs="黑体"/>
          <w:color w:val="auto"/>
          <w:sz w:val="48"/>
          <w:szCs w:val="48"/>
          <w:highlight w:val="none"/>
          <w:lang w:val="en-US" w:eastAsia="zh-CN"/>
        </w:rPr>
        <w:t>21</w:t>
      </w:r>
      <w:r>
        <w:rPr>
          <w:rFonts w:hint="eastAsia" w:ascii="黑体" w:hAnsi="黑体" w:eastAsia="黑体" w:cs="黑体"/>
          <w:color w:val="auto"/>
          <w:sz w:val="48"/>
          <w:szCs w:val="48"/>
          <w:highlight w:val="none"/>
          <w:lang w:eastAsia="zh-CN"/>
        </w:rPr>
        <w:t>年度</w:t>
      </w:r>
      <w:r>
        <w:rPr>
          <w:rFonts w:hint="eastAsia" w:ascii="黑体" w:hAnsi="黑体" w:eastAsia="黑体" w:cs="黑体"/>
          <w:color w:val="auto"/>
          <w:sz w:val="48"/>
          <w:szCs w:val="48"/>
          <w:highlight w:val="none"/>
        </w:rPr>
        <w:t>部门决算表</w:t>
      </w:r>
    </w:p>
    <w:tbl>
      <w:tblPr>
        <w:tblStyle w:val="10"/>
        <w:tblW w:w="14081" w:type="dxa"/>
        <w:tblInd w:w="93" w:type="dxa"/>
        <w:tblLayout w:type="fixed"/>
        <w:tblCellMar>
          <w:top w:w="0" w:type="dxa"/>
          <w:left w:w="108" w:type="dxa"/>
          <w:bottom w:w="0" w:type="dxa"/>
          <w:right w:w="108" w:type="dxa"/>
        </w:tblCellMar>
      </w:tblPr>
      <w:tblGrid>
        <w:gridCol w:w="4620"/>
        <w:gridCol w:w="811"/>
        <w:gridCol w:w="1491"/>
        <w:gridCol w:w="4348"/>
        <w:gridCol w:w="811"/>
        <w:gridCol w:w="2000"/>
      </w:tblGrid>
      <w:tr>
        <w:tblPrEx>
          <w:tblCellMar>
            <w:top w:w="0" w:type="dxa"/>
            <w:left w:w="108" w:type="dxa"/>
            <w:bottom w:w="0" w:type="dxa"/>
            <w:right w:w="108" w:type="dxa"/>
          </w:tblCellMar>
        </w:tblPrEx>
        <w:trPr>
          <w:trHeight w:val="390" w:hRule="atLeast"/>
        </w:trPr>
        <w:tc>
          <w:tcPr>
            <w:tcW w:w="14081" w:type="dxa"/>
            <w:gridSpan w:val="6"/>
            <w:tcBorders>
              <w:top w:val="nil"/>
              <w:left w:val="nil"/>
              <w:bottom w:val="nil"/>
              <w:right w:val="nil"/>
            </w:tcBorders>
            <w:vAlign w:val="bottom"/>
          </w:tcPr>
          <w:p>
            <w:pPr>
              <w:jc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tblPrEx>
          <w:tblCellMar>
            <w:top w:w="0" w:type="dxa"/>
            <w:left w:w="108" w:type="dxa"/>
            <w:bottom w:w="0" w:type="dxa"/>
            <w:right w:w="108" w:type="dxa"/>
          </w:tblCellMar>
        </w:tblPrEx>
        <w:trPr>
          <w:trHeight w:val="255" w:hRule="atLeast"/>
        </w:trPr>
        <w:tc>
          <w:tcPr>
            <w:tcW w:w="4620" w:type="dxa"/>
            <w:tcBorders>
              <w:top w:val="nil"/>
              <w:left w:val="nil"/>
              <w:bottom w:val="nil"/>
              <w:right w:val="nil"/>
            </w:tcBorders>
            <w:vAlign w:val="bottom"/>
          </w:tcPr>
          <w:p>
            <w:pPr>
              <w:rPr>
                <w:rFonts w:hint="default" w:ascii="Arial" w:hAnsi="Arial" w:cs="Arial"/>
                <w:i w:val="0"/>
                <w:iCs w:val="0"/>
                <w:color w:val="000000"/>
                <w:sz w:val="20"/>
                <w:szCs w:val="20"/>
                <w:u w:val="none"/>
              </w:rPr>
            </w:pPr>
          </w:p>
        </w:tc>
        <w:tc>
          <w:tcPr>
            <w:tcW w:w="811" w:type="dxa"/>
            <w:tcBorders>
              <w:top w:val="nil"/>
              <w:left w:val="nil"/>
              <w:bottom w:val="nil"/>
              <w:right w:val="nil"/>
            </w:tcBorders>
            <w:vAlign w:val="bottom"/>
          </w:tcPr>
          <w:p>
            <w:pPr>
              <w:rPr>
                <w:rFonts w:hint="default" w:ascii="Arial" w:hAnsi="Arial" w:cs="Arial"/>
                <w:i w:val="0"/>
                <w:iCs w:val="0"/>
                <w:color w:val="000000"/>
                <w:sz w:val="20"/>
                <w:szCs w:val="20"/>
                <w:u w:val="none"/>
              </w:rPr>
            </w:pPr>
          </w:p>
        </w:tc>
        <w:tc>
          <w:tcPr>
            <w:tcW w:w="1491" w:type="dxa"/>
            <w:tcBorders>
              <w:top w:val="nil"/>
              <w:left w:val="nil"/>
              <w:bottom w:val="nil"/>
              <w:right w:val="nil"/>
            </w:tcBorders>
            <w:vAlign w:val="bottom"/>
          </w:tcPr>
          <w:p>
            <w:pPr>
              <w:rPr>
                <w:rFonts w:hint="default" w:ascii="Arial" w:hAnsi="Arial" w:cs="Arial"/>
                <w:i w:val="0"/>
                <w:iCs w:val="0"/>
                <w:color w:val="000000"/>
                <w:sz w:val="20"/>
                <w:szCs w:val="20"/>
                <w:u w:val="none"/>
              </w:rPr>
            </w:pPr>
          </w:p>
        </w:tc>
        <w:tc>
          <w:tcPr>
            <w:tcW w:w="4348" w:type="dxa"/>
            <w:tcBorders>
              <w:top w:val="nil"/>
              <w:left w:val="nil"/>
              <w:bottom w:val="nil"/>
              <w:right w:val="nil"/>
            </w:tcBorders>
            <w:vAlign w:val="bottom"/>
          </w:tcPr>
          <w:p>
            <w:pPr>
              <w:rPr>
                <w:rFonts w:hint="default" w:ascii="Arial" w:hAnsi="Arial" w:cs="Arial"/>
                <w:i w:val="0"/>
                <w:iCs w:val="0"/>
                <w:color w:val="000000"/>
                <w:sz w:val="20"/>
                <w:szCs w:val="20"/>
                <w:u w:val="none"/>
              </w:rPr>
            </w:pPr>
          </w:p>
        </w:tc>
        <w:tc>
          <w:tcPr>
            <w:tcW w:w="811" w:type="dxa"/>
            <w:tcBorders>
              <w:top w:val="nil"/>
              <w:left w:val="nil"/>
              <w:bottom w:val="nil"/>
              <w:right w:val="nil"/>
            </w:tcBorders>
            <w:vAlign w:val="bottom"/>
          </w:tcPr>
          <w:p>
            <w:pPr>
              <w:rPr>
                <w:rFonts w:hint="default" w:ascii="Arial" w:hAnsi="Arial" w:cs="Arial"/>
                <w:i w:val="0"/>
                <w:iCs w:val="0"/>
                <w:color w:val="000000"/>
                <w:sz w:val="20"/>
                <w:szCs w:val="20"/>
                <w:u w:val="none"/>
              </w:rPr>
            </w:pPr>
          </w:p>
        </w:tc>
        <w:tc>
          <w:tcPr>
            <w:tcW w:w="2000" w:type="dxa"/>
            <w:tcBorders>
              <w:top w:val="nil"/>
              <w:left w:val="nil"/>
              <w:bottom w:val="nil"/>
              <w:right w:val="nil"/>
            </w:tcBorders>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tblPrEx>
          <w:tblCellMar>
            <w:top w:w="0" w:type="dxa"/>
            <w:left w:w="108" w:type="dxa"/>
            <w:bottom w:w="0" w:type="dxa"/>
            <w:right w:w="108" w:type="dxa"/>
          </w:tblCellMar>
        </w:tblPrEx>
        <w:trPr>
          <w:trHeight w:val="255" w:hRule="atLeast"/>
        </w:trPr>
        <w:tc>
          <w:tcPr>
            <w:tcW w:w="4620" w:type="dxa"/>
            <w:tcBorders>
              <w:top w:val="nil"/>
              <w:left w:val="nil"/>
              <w:bottom w:val="nil"/>
              <w:right w:val="nil"/>
            </w:tcBorders>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部门：许昌市建安区住房和城乡建设局</w:t>
            </w:r>
          </w:p>
        </w:tc>
        <w:tc>
          <w:tcPr>
            <w:tcW w:w="811" w:type="dxa"/>
            <w:tcBorders>
              <w:top w:val="nil"/>
              <w:left w:val="nil"/>
              <w:bottom w:val="nil"/>
              <w:right w:val="nil"/>
            </w:tcBorders>
            <w:vAlign w:val="bottom"/>
          </w:tcPr>
          <w:p>
            <w:pPr>
              <w:rPr>
                <w:rFonts w:hint="default" w:ascii="Arial" w:hAnsi="Arial" w:cs="Arial"/>
                <w:i w:val="0"/>
                <w:iCs w:val="0"/>
                <w:color w:val="000000"/>
                <w:sz w:val="20"/>
                <w:szCs w:val="20"/>
                <w:u w:val="none"/>
              </w:rPr>
            </w:pPr>
          </w:p>
        </w:tc>
        <w:tc>
          <w:tcPr>
            <w:tcW w:w="1491" w:type="dxa"/>
            <w:tcBorders>
              <w:top w:val="nil"/>
              <w:left w:val="nil"/>
              <w:bottom w:val="nil"/>
              <w:right w:val="nil"/>
            </w:tcBorders>
            <w:vAlign w:val="bottom"/>
          </w:tcPr>
          <w:p>
            <w:pPr>
              <w:rPr>
                <w:rFonts w:hint="default" w:ascii="Arial" w:hAnsi="Arial" w:cs="Arial"/>
                <w:i w:val="0"/>
                <w:iCs w:val="0"/>
                <w:color w:val="000000"/>
                <w:sz w:val="20"/>
                <w:szCs w:val="20"/>
                <w:u w:val="none"/>
              </w:rPr>
            </w:pPr>
          </w:p>
        </w:tc>
        <w:tc>
          <w:tcPr>
            <w:tcW w:w="4348" w:type="dxa"/>
            <w:tcBorders>
              <w:top w:val="nil"/>
              <w:left w:val="nil"/>
              <w:bottom w:val="nil"/>
              <w:right w:val="nil"/>
            </w:tcBorders>
            <w:vAlign w:val="bottom"/>
          </w:tcPr>
          <w:p>
            <w:pPr>
              <w:rPr>
                <w:rFonts w:hint="default" w:ascii="Arial" w:hAnsi="Arial" w:cs="Arial"/>
                <w:i w:val="0"/>
                <w:iCs w:val="0"/>
                <w:color w:val="000000"/>
                <w:sz w:val="20"/>
                <w:szCs w:val="20"/>
                <w:u w:val="none"/>
              </w:rPr>
            </w:pPr>
          </w:p>
        </w:tc>
        <w:tc>
          <w:tcPr>
            <w:tcW w:w="811" w:type="dxa"/>
            <w:tcBorders>
              <w:top w:val="nil"/>
              <w:left w:val="nil"/>
              <w:bottom w:val="nil"/>
              <w:right w:val="nil"/>
            </w:tcBorders>
            <w:vAlign w:val="bottom"/>
          </w:tcPr>
          <w:p>
            <w:pPr>
              <w:rPr>
                <w:rFonts w:hint="default" w:ascii="Arial" w:hAnsi="Arial" w:cs="Arial"/>
                <w:i w:val="0"/>
                <w:iCs w:val="0"/>
                <w:color w:val="000000"/>
                <w:sz w:val="20"/>
                <w:szCs w:val="20"/>
                <w:u w:val="none"/>
              </w:rPr>
            </w:pPr>
          </w:p>
        </w:tc>
        <w:tc>
          <w:tcPr>
            <w:tcW w:w="2000" w:type="dxa"/>
            <w:tcBorders>
              <w:top w:val="nil"/>
              <w:left w:val="nil"/>
              <w:bottom w:val="nil"/>
              <w:right w:val="nil"/>
            </w:tcBorders>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CellMar>
            <w:top w:w="0" w:type="dxa"/>
            <w:left w:w="108" w:type="dxa"/>
            <w:bottom w:w="0" w:type="dxa"/>
            <w:right w:w="108" w:type="dxa"/>
          </w:tblCellMar>
        </w:tblPrEx>
        <w:trPr>
          <w:trHeight w:val="308" w:hRule="atLeast"/>
        </w:trPr>
        <w:tc>
          <w:tcPr>
            <w:tcW w:w="692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159" w:type="dxa"/>
            <w:gridSpan w:val="3"/>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11" w:type="dxa"/>
            <w:tcBorders>
              <w:top w:val="nil"/>
              <w:left w:val="nil"/>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11" w:type="dxa"/>
            <w:tcBorders>
              <w:top w:val="nil"/>
              <w:left w:val="nil"/>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44,895.39</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36.12</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39,156.95</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000"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000"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83,285.95</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0"/>
                <w:szCs w:val="20"/>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0"/>
                <w:szCs w:val="20"/>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0"/>
                <w:szCs w:val="20"/>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0"/>
                <w:szCs w:val="20"/>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0"/>
                <w:szCs w:val="20"/>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84,052.34</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84,060.02</w:t>
            </w: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000"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7.68</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000"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91" w:type="dxa"/>
            <w:tcBorders>
              <w:top w:val="nil"/>
              <w:left w:val="nil"/>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2"/>
                <w:szCs w:val="22"/>
                <w:u w:val="none"/>
              </w:rPr>
            </w:pPr>
          </w:p>
        </w:tc>
        <w:tc>
          <w:tcPr>
            <w:tcW w:w="4348" w:type="dxa"/>
            <w:tcBorders>
              <w:top w:val="nil"/>
              <w:left w:val="nil"/>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2000" w:type="dxa"/>
            <w:tcBorders>
              <w:top w:val="nil"/>
              <w:left w:val="nil"/>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308" w:hRule="atLeast"/>
        </w:trPr>
        <w:tc>
          <w:tcPr>
            <w:tcW w:w="462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11" w:type="dxa"/>
            <w:tcBorders>
              <w:top w:val="nil"/>
              <w:left w:val="nil"/>
              <w:bottom w:val="single" w:color="000000" w:sz="8"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49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84,060.02</w:t>
            </w:r>
          </w:p>
        </w:tc>
        <w:tc>
          <w:tcPr>
            <w:tcW w:w="4348"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11"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000" w:type="dxa"/>
            <w:tcBorders>
              <w:top w:val="nil"/>
              <w:left w:val="nil"/>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84,060.02</w:t>
            </w:r>
          </w:p>
        </w:tc>
      </w:tr>
      <w:tr>
        <w:tblPrEx>
          <w:tblCellMar>
            <w:top w:w="0" w:type="dxa"/>
            <w:left w:w="108" w:type="dxa"/>
            <w:bottom w:w="0" w:type="dxa"/>
            <w:right w:w="108" w:type="dxa"/>
          </w:tblCellMar>
        </w:tblPrEx>
        <w:trPr>
          <w:trHeight w:val="308" w:hRule="atLeast"/>
        </w:trPr>
        <w:tc>
          <w:tcPr>
            <w:tcW w:w="14081" w:type="dxa"/>
            <w:gridSpan w:val="6"/>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注：本表反映部门本年度的总收支和年末结转结余情况。本套报表金额单位转换时可能存在尾数误差。</w:t>
            </w:r>
          </w:p>
        </w:tc>
      </w:tr>
    </w:tbl>
    <w:p>
      <w:pPr>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tbl>
      <w:tblPr>
        <w:tblStyle w:val="10"/>
        <w:tblW w:w="13988" w:type="dxa"/>
        <w:tblInd w:w="0" w:type="dxa"/>
        <w:tblLayout w:type="fixed"/>
        <w:tblCellMar>
          <w:top w:w="0" w:type="dxa"/>
          <w:left w:w="0" w:type="dxa"/>
          <w:bottom w:w="0" w:type="dxa"/>
          <w:right w:w="0" w:type="dxa"/>
        </w:tblCellMar>
      </w:tblPr>
      <w:tblGrid>
        <w:gridCol w:w="69"/>
        <w:gridCol w:w="69"/>
        <w:gridCol w:w="734"/>
        <w:gridCol w:w="4523"/>
        <w:gridCol w:w="1674"/>
        <w:gridCol w:w="1445"/>
        <w:gridCol w:w="945"/>
        <w:gridCol w:w="945"/>
        <w:gridCol w:w="995"/>
        <w:gridCol w:w="989"/>
        <w:gridCol w:w="1600"/>
      </w:tblGrid>
      <w:tr>
        <w:tblPrEx>
          <w:tblCellMar>
            <w:top w:w="0" w:type="dxa"/>
            <w:left w:w="0" w:type="dxa"/>
            <w:bottom w:w="0" w:type="dxa"/>
            <w:right w:w="0" w:type="dxa"/>
          </w:tblCellMar>
        </w:tblPrEx>
        <w:trPr>
          <w:trHeight w:val="390" w:hRule="atLeast"/>
        </w:trPr>
        <w:tc>
          <w:tcPr>
            <w:tcW w:w="13988" w:type="dxa"/>
            <w:gridSpan w:val="11"/>
            <w:tcBorders>
              <w:top w:val="nil"/>
              <w:left w:val="nil"/>
              <w:bottom w:val="nil"/>
              <w:right w:val="nil"/>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收入决算表</w:t>
            </w:r>
          </w:p>
        </w:tc>
      </w:tr>
      <w:tr>
        <w:tblPrEx>
          <w:tblCellMar>
            <w:top w:w="0" w:type="dxa"/>
            <w:left w:w="0" w:type="dxa"/>
            <w:bottom w:w="0" w:type="dxa"/>
            <w:right w:w="0" w:type="dxa"/>
          </w:tblCellMar>
        </w:tblPrEx>
        <w:trPr>
          <w:trHeight w:val="255" w:hRule="atLeast"/>
        </w:trPr>
        <w:tc>
          <w:tcPr>
            <w:tcW w:w="69" w:type="dxa"/>
            <w:tcBorders>
              <w:top w:val="nil"/>
              <w:left w:val="nil"/>
              <w:bottom w:val="nil"/>
              <w:right w:val="nil"/>
            </w:tcBorders>
            <w:tcMar>
              <w:top w:w="15" w:type="dxa"/>
              <w:left w:w="15" w:type="dxa"/>
              <w:right w:w="15" w:type="dxa"/>
            </w:tcMar>
            <w:vAlign w:val="bottom"/>
          </w:tcPr>
          <w:p>
            <w:pPr>
              <w:rPr>
                <w:rFonts w:hint="eastAsia" w:ascii="Arial" w:hAnsi="Arial" w:cs="Arial"/>
                <w:i w:val="0"/>
                <w:color w:val="000000"/>
                <w:sz w:val="20"/>
                <w:szCs w:val="20"/>
                <w:u w:val="none"/>
              </w:rPr>
            </w:pPr>
          </w:p>
        </w:tc>
        <w:tc>
          <w:tcPr>
            <w:tcW w:w="69"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734"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4523"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674"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44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4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4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9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89"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600" w:type="dxa"/>
            <w:tcBorders>
              <w:top w:val="nil"/>
              <w:left w:val="nil"/>
              <w:bottom w:val="nil"/>
              <w:right w:val="nil"/>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公开02表</w:t>
            </w:r>
          </w:p>
        </w:tc>
      </w:tr>
      <w:tr>
        <w:tblPrEx>
          <w:tblCellMar>
            <w:top w:w="0" w:type="dxa"/>
            <w:left w:w="0" w:type="dxa"/>
            <w:bottom w:w="0" w:type="dxa"/>
            <w:right w:w="0" w:type="dxa"/>
          </w:tblCellMar>
        </w:tblPrEx>
        <w:trPr>
          <w:trHeight w:val="255" w:hRule="atLeast"/>
        </w:trPr>
        <w:tc>
          <w:tcPr>
            <w:tcW w:w="5395" w:type="dxa"/>
            <w:gridSpan w:val="4"/>
            <w:tcBorders>
              <w:top w:val="nil"/>
              <w:left w:val="nil"/>
              <w:bottom w:val="nil"/>
              <w:right w:val="nil"/>
            </w:tcBorders>
            <w:tcMar>
              <w:top w:w="15" w:type="dxa"/>
              <w:left w:w="15" w:type="dxa"/>
              <w:right w:w="15" w:type="dxa"/>
            </w:tcMar>
            <w:vAlign w:val="bottom"/>
          </w:tcPr>
          <w:p>
            <w:pPr>
              <w:keepNext w:val="0"/>
              <w:keepLines w:val="0"/>
              <w:widowControl/>
              <w:suppressLineNumbers w:val="0"/>
              <w:jc w:val="both"/>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部门：许昌市建安区住房和城乡建设局</w:t>
            </w:r>
          </w:p>
        </w:tc>
        <w:tc>
          <w:tcPr>
            <w:tcW w:w="1674"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44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4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4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9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89"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600" w:type="dxa"/>
            <w:tcBorders>
              <w:top w:val="nil"/>
              <w:left w:val="nil"/>
              <w:bottom w:val="nil"/>
              <w:right w:val="nil"/>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trHeight w:val="308" w:hRule="atLeast"/>
        </w:trPr>
        <w:tc>
          <w:tcPr>
            <w:tcW w:w="539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674"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1445"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945"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945"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995"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989"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1600"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r>
      <w:tr>
        <w:tblPrEx>
          <w:tblCellMar>
            <w:top w:w="0" w:type="dxa"/>
            <w:left w:w="0" w:type="dxa"/>
            <w:bottom w:w="0" w:type="dxa"/>
            <w:right w:w="0" w:type="dxa"/>
          </w:tblCellMar>
        </w:tblPrEx>
        <w:trPr>
          <w:trHeight w:val="308" w:hRule="atLeast"/>
        </w:trPr>
        <w:tc>
          <w:tcPr>
            <w:tcW w:w="872" w:type="dxa"/>
            <w:gridSpan w:val="3"/>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4523"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674"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4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89"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0"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872" w:type="dxa"/>
            <w:gridSpan w:val="3"/>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23"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4"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4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89"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0"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872" w:type="dxa"/>
            <w:gridSpan w:val="3"/>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523"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4"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4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89"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0"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5395" w:type="dxa"/>
            <w:gridSpan w:val="4"/>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67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9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8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tblPrEx>
          <w:tblCellMar>
            <w:top w:w="0" w:type="dxa"/>
            <w:left w:w="0" w:type="dxa"/>
            <w:bottom w:w="0" w:type="dxa"/>
            <w:right w:w="0" w:type="dxa"/>
          </w:tblCellMar>
        </w:tblPrEx>
        <w:trPr>
          <w:trHeight w:val="308" w:hRule="atLeast"/>
        </w:trPr>
        <w:tc>
          <w:tcPr>
            <w:tcW w:w="5395" w:type="dxa"/>
            <w:gridSpan w:val="4"/>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67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84,052.34</w:t>
            </w:r>
          </w:p>
        </w:tc>
        <w:tc>
          <w:tcPr>
            <w:tcW w:w="14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84,052.34</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52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7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14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52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7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14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2080501</w:t>
            </w:r>
          </w:p>
        </w:tc>
        <w:tc>
          <w:tcPr>
            <w:tcW w:w="452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67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14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452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167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166.69</w:t>
            </w:r>
          </w:p>
        </w:tc>
        <w:tc>
          <w:tcPr>
            <w:tcW w:w="14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166.69</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52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67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83,281.53</w:t>
            </w:r>
          </w:p>
        </w:tc>
        <w:tc>
          <w:tcPr>
            <w:tcW w:w="14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83,281.53</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452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1674"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2,496.09</w:t>
            </w:r>
          </w:p>
        </w:tc>
        <w:tc>
          <w:tcPr>
            <w:tcW w:w="1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2,496.09</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452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74"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367.96</w:t>
            </w:r>
          </w:p>
        </w:tc>
        <w:tc>
          <w:tcPr>
            <w:tcW w:w="1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367.96</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2120105</w:t>
            </w:r>
          </w:p>
        </w:tc>
        <w:tc>
          <w:tcPr>
            <w:tcW w:w="452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工程建设标准规范编制与监管</w:t>
            </w:r>
          </w:p>
        </w:tc>
        <w:tc>
          <w:tcPr>
            <w:tcW w:w="1674"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206.85</w:t>
            </w:r>
          </w:p>
        </w:tc>
        <w:tc>
          <w:tcPr>
            <w:tcW w:w="1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206.85</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2120106</w:t>
            </w:r>
          </w:p>
        </w:tc>
        <w:tc>
          <w:tcPr>
            <w:tcW w:w="452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工程建设管理</w:t>
            </w:r>
          </w:p>
        </w:tc>
        <w:tc>
          <w:tcPr>
            <w:tcW w:w="1674"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572.16</w:t>
            </w:r>
          </w:p>
        </w:tc>
        <w:tc>
          <w:tcPr>
            <w:tcW w:w="1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572.16</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2120107</w:t>
            </w:r>
          </w:p>
        </w:tc>
        <w:tc>
          <w:tcPr>
            <w:tcW w:w="452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市政公用行业市场监管</w:t>
            </w:r>
          </w:p>
        </w:tc>
        <w:tc>
          <w:tcPr>
            <w:tcW w:w="1674"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161.19</w:t>
            </w:r>
          </w:p>
        </w:tc>
        <w:tc>
          <w:tcPr>
            <w:tcW w:w="1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161.19</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452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674"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1,187.92</w:t>
            </w:r>
          </w:p>
        </w:tc>
        <w:tc>
          <w:tcPr>
            <w:tcW w:w="1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1,187.92</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452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674"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c>
          <w:tcPr>
            <w:tcW w:w="1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452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674"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c>
          <w:tcPr>
            <w:tcW w:w="1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4523"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674"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1445"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945"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2120899</w:t>
            </w:r>
          </w:p>
        </w:tc>
        <w:tc>
          <w:tcPr>
            <w:tcW w:w="45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其他国有土地使用权出让收入安排的支出</w:t>
            </w:r>
          </w:p>
        </w:tc>
        <w:tc>
          <w:tcPr>
            <w:tcW w:w="16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1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w:t>
            </w:r>
          </w:p>
        </w:tc>
        <w:tc>
          <w:tcPr>
            <w:tcW w:w="45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城市基础设施配套费安排的支出</w:t>
            </w:r>
          </w:p>
        </w:tc>
        <w:tc>
          <w:tcPr>
            <w:tcW w:w="16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1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2121301</w:t>
            </w:r>
          </w:p>
        </w:tc>
        <w:tc>
          <w:tcPr>
            <w:tcW w:w="45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城市公共设施</w:t>
            </w:r>
          </w:p>
        </w:tc>
        <w:tc>
          <w:tcPr>
            <w:tcW w:w="16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1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21216</w:t>
            </w:r>
          </w:p>
        </w:tc>
        <w:tc>
          <w:tcPr>
            <w:tcW w:w="45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棚户区改造专项债券收入安排的支出</w:t>
            </w:r>
          </w:p>
        </w:tc>
        <w:tc>
          <w:tcPr>
            <w:tcW w:w="16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1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2121699</w:t>
            </w:r>
          </w:p>
        </w:tc>
        <w:tc>
          <w:tcPr>
            <w:tcW w:w="45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其他棚户区改造专项债券收入安排的支出</w:t>
            </w:r>
          </w:p>
        </w:tc>
        <w:tc>
          <w:tcPr>
            <w:tcW w:w="16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1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45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6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322.71</w:t>
            </w:r>
          </w:p>
        </w:tc>
        <w:tc>
          <w:tcPr>
            <w:tcW w:w="1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322.71</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45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6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322.71</w:t>
            </w:r>
          </w:p>
        </w:tc>
        <w:tc>
          <w:tcPr>
            <w:tcW w:w="1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322.71</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2200150</w:t>
            </w:r>
          </w:p>
        </w:tc>
        <w:tc>
          <w:tcPr>
            <w:tcW w:w="45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6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322.71</w:t>
            </w:r>
          </w:p>
        </w:tc>
        <w:tc>
          <w:tcPr>
            <w:tcW w:w="1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322.71</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5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67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c>
          <w:tcPr>
            <w:tcW w:w="1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w:t>
            </w:r>
          </w:p>
        </w:tc>
        <w:tc>
          <w:tcPr>
            <w:tcW w:w="4523"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保障性安居工程支出</w:t>
            </w:r>
          </w:p>
        </w:tc>
        <w:tc>
          <w:tcPr>
            <w:tcW w:w="1674"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c>
          <w:tcPr>
            <w:tcW w:w="1445"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c>
          <w:tcPr>
            <w:tcW w:w="945"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2210105</w:t>
            </w:r>
          </w:p>
        </w:tc>
        <w:tc>
          <w:tcPr>
            <w:tcW w:w="452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农村危房改造</w:t>
            </w:r>
          </w:p>
        </w:tc>
        <w:tc>
          <w:tcPr>
            <w:tcW w:w="1674"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1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7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2210108</w:t>
            </w:r>
          </w:p>
        </w:tc>
        <w:tc>
          <w:tcPr>
            <w:tcW w:w="452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老旧小区改造</w:t>
            </w:r>
          </w:p>
        </w:tc>
        <w:tc>
          <w:tcPr>
            <w:tcW w:w="1674"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230.00</w:t>
            </w:r>
          </w:p>
        </w:tc>
        <w:tc>
          <w:tcPr>
            <w:tcW w:w="1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230.00</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9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3988" w:type="dxa"/>
            <w:gridSpan w:val="11"/>
            <w:tcBorders>
              <w:top w:val="nil"/>
              <w:left w:val="nil"/>
              <w:bottom w:val="nil"/>
              <w:right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注：本表反映部门本年度取得的各项收入情况。</w:t>
            </w:r>
          </w:p>
        </w:tc>
      </w:tr>
    </w:tbl>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jc w:val="both"/>
        <w:rPr>
          <w:rFonts w:hint="eastAsia" w:ascii="仿宋_GB2312" w:hAnsi="仿宋_GB2312" w:eastAsia="仿宋_GB2312" w:cs="仿宋_GB2312"/>
          <w:color w:val="auto"/>
          <w:sz w:val="32"/>
          <w:szCs w:val="32"/>
          <w:highlight w:val="none"/>
        </w:rPr>
      </w:pPr>
    </w:p>
    <w:tbl>
      <w:tblPr>
        <w:tblStyle w:val="10"/>
        <w:tblW w:w="13988" w:type="dxa"/>
        <w:tblInd w:w="0" w:type="dxa"/>
        <w:tblLayout w:type="fixed"/>
        <w:tblCellMar>
          <w:top w:w="0" w:type="dxa"/>
          <w:left w:w="0" w:type="dxa"/>
          <w:bottom w:w="0" w:type="dxa"/>
          <w:right w:w="0" w:type="dxa"/>
        </w:tblCellMar>
      </w:tblPr>
      <w:tblGrid>
        <w:gridCol w:w="69"/>
        <w:gridCol w:w="70"/>
        <w:gridCol w:w="744"/>
        <w:gridCol w:w="4445"/>
        <w:gridCol w:w="1652"/>
        <w:gridCol w:w="1487"/>
        <w:gridCol w:w="1609"/>
        <w:gridCol w:w="1000"/>
        <w:gridCol w:w="983"/>
        <w:gridCol w:w="1929"/>
      </w:tblGrid>
      <w:tr>
        <w:tblPrEx>
          <w:tblCellMar>
            <w:top w:w="0" w:type="dxa"/>
            <w:left w:w="0" w:type="dxa"/>
            <w:bottom w:w="0" w:type="dxa"/>
            <w:right w:w="0" w:type="dxa"/>
          </w:tblCellMar>
        </w:tblPrEx>
        <w:trPr>
          <w:trHeight w:val="390" w:hRule="atLeast"/>
        </w:trPr>
        <w:tc>
          <w:tcPr>
            <w:tcW w:w="13988" w:type="dxa"/>
            <w:gridSpan w:val="10"/>
            <w:tcBorders>
              <w:top w:val="nil"/>
              <w:left w:val="nil"/>
              <w:bottom w:val="nil"/>
              <w:right w:val="nil"/>
            </w:tcBorders>
            <w:tcMar>
              <w:top w:w="15" w:type="dxa"/>
              <w:left w:w="15" w:type="dxa"/>
              <w:right w:w="15" w:type="dxa"/>
            </w:tcMar>
            <w:vAlign w:val="bottom"/>
          </w:tcPr>
          <w:p>
            <w:pPr>
              <w:keepNext w:val="0"/>
              <w:keepLines w:val="0"/>
              <w:widowControl/>
              <w:suppressLineNumbers w:val="0"/>
              <w:ind w:firstLine="300" w:firstLineChars="10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支出决算表</w:t>
            </w:r>
          </w:p>
        </w:tc>
      </w:tr>
      <w:tr>
        <w:tblPrEx>
          <w:tblCellMar>
            <w:top w:w="0" w:type="dxa"/>
            <w:left w:w="0" w:type="dxa"/>
            <w:bottom w:w="0" w:type="dxa"/>
            <w:right w:w="0" w:type="dxa"/>
          </w:tblCellMar>
        </w:tblPrEx>
        <w:trPr>
          <w:trHeight w:val="255" w:hRule="atLeast"/>
        </w:trPr>
        <w:tc>
          <w:tcPr>
            <w:tcW w:w="69" w:type="dxa"/>
            <w:tcBorders>
              <w:top w:val="nil"/>
              <w:left w:val="nil"/>
              <w:bottom w:val="nil"/>
              <w:right w:val="nil"/>
            </w:tcBorders>
            <w:tcMar>
              <w:top w:w="15" w:type="dxa"/>
              <w:left w:w="15" w:type="dxa"/>
              <w:right w:w="15" w:type="dxa"/>
            </w:tcMar>
            <w:vAlign w:val="bottom"/>
          </w:tcPr>
          <w:p>
            <w:pPr>
              <w:rPr>
                <w:rFonts w:hint="eastAsia" w:ascii="Arial" w:hAnsi="Arial" w:cs="Arial"/>
                <w:i w:val="0"/>
                <w:color w:val="000000"/>
                <w:sz w:val="20"/>
                <w:szCs w:val="20"/>
                <w:u w:val="none"/>
              </w:rPr>
            </w:pPr>
          </w:p>
        </w:tc>
        <w:tc>
          <w:tcPr>
            <w:tcW w:w="70"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744"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444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652"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487"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609"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000"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83"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929" w:type="dxa"/>
            <w:tcBorders>
              <w:top w:val="nil"/>
              <w:left w:val="nil"/>
              <w:bottom w:val="nil"/>
              <w:right w:val="nil"/>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公开03表</w:t>
            </w:r>
          </w:p>
        </w:tc>
      </w:tr>
      <w:tr>
        <w:tblPrEx>
          <w:tblCellMar>
            <w:top w:w="0" w:type="dxa"/>
            <w:left w:w="0" w:type="dxa"/>
            <w:bottom w:w="0" w:type="dxa"/>
            <w:right w:w="0" w:type="dxa"/>
          </w:tblCellMar>
        </w:tblPrEx>
        <w:trPr>
          <w:trHeight w:val="255" w:hRule="atLeast"/>
        </w:trPr>
        <w:tc>
          <w:tcPr>
            <w:tcW w:w="5328" w:type="dxa"/>
            <w:gridSpan w:val="4"/>
            <w:tcBorders>
              <w:top w:val="nil"/>
              <w:left w:val="nil"/>
              <w:bottom w:val="nil"/>
              <w:right w:val="nil"/>
            </w:tcBorders>
            <w:tcMar>
              <w:top w:w="15" w:type="dxa"/>
              <w:left w:w="15" w:type="dxa"/>
              <w:right w:w="15" w:type="dxa"/>
            </w:tcMar>
            <w:vAlign w:val="bottom"/>
          </w:tcPr>
          <w:p>
            <w:pPr>
              <w:keepNext w:val="0"/>
              <w:keepLines w:val="0"/>
              <w:widowControl/>
              <w:suppressLineNumbers w:val="0"/>
              <w:jc w:val="both"/>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部门：许昌市建安区住房和城乡建设局</w:t>
            </w:r>
          </w:p>
        </w:tc>
        <w:tc>
          <w:tcPr>
            <w:tcW w:w="1652"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487"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609"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000"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83"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929" w:type="dxa"/>
            <w:tcBorders>
              <w:top w:val="nil"/>
              <w:left w:val="nil"/>
              <w:bottom w:val="nil"/>
              <w:right w:val="nil"/>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trHeight w:val="308" w:hRule="atLeast"/>
        </w:trPr>
        <w:tc>
          <w:tcPr>
            <w:tcW w:w="5328"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652"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487"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609"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000"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983"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929"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CellMar>
            <w:top w:w="0" w:type="dxa"/>
            <w:left w:w="0" w:type="dxa"/>
            <w:bottom w:w="0" w:type="dxa"/>
            <w:right w:w="0" w:type="dxa"/>
          </w:tblCellMar>
        </w:tblPrEx>
        <w:trPr>
          <w:trHeight w:val="308" w:hRule="atLeast"/>
        </w:trPr>
        <w:tc>
          <w:tcPr>
            <w:tcW w:w="883" w:type="dxa"/>
            <w:gridSpan w:val="3"/>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4445"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652"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7"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9"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0"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83"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9"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883" w:type="dxa"/>
            <w:gridSpan w:val="3"/>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4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2"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7"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9"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0"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83"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9"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883" w:type="dxa"/>
            <w:gridSpan w:val="3"/>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44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52"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7"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9"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0"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83"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29"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5328" w:type="dxa"/>
            <w:gridSpan w:val="4"/>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652"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8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92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CellMar>
            <w:top w:w="0" w:type="dxa"/>
            <w:left w:w="0" w:type="dxa"/>
            <w:bottom w:w="0" w:type="dxa"/>
            <w:right w:w="0" w:type="dxa"/>
          </w:tblCellMar>
        </w:tblPrEx>
        <w:trPr>
          <w:trHeight w:val="308" w:hRule="atLeast"/>
        </w:trPr>
        <w:tc>
          <w:tcPr>
            <w:tcW w:w="5328" w:type="dxa"/>
            <w:gridSpan w:val="4"/>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652"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84,060.02</w:t>
            </w:r>
          </w:p>
        </w:tc>
        <w:tc>
          <w:tcPr>
            <w:tcW w:w="148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3,036.08</w:t>
            </w:r>
          </w:p>
        </w:tc>
        <w:tc>
          <w:tcPr>
            <w:tcW w:w="16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81,023.94</w:t>
            </w:r>
          </w:p>
        </w:tc>
        <w:tc>
          <w:tcPr>
            <w:tcW w:w="10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4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52"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148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16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4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52"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148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16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2080501</w:t>
            </w:r>
          </w:p>
        </w:tc>
        <w:tc>
          <w:tcPr>
            <w:tcW w:w="4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652"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1487"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1609" w:type="dxa"/>
            <w:tcBorders>
              <w:top w:val="nil"/>
              <w:left w:val="nil"/>
              <w:bottom w:val="single" w:color="000000"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4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1652"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166.69</w:t>
            </w:r>
          </w:p>
        </w:tc>
        <w:tc>
          <w:tcPr>
            <w:tcW w:w="1487"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166.69</w:t>
            </w:r>
          </w:p>
        </w:tc>
        <w:tc>
          <w:tcPr>
            <w:tcW w:w="1609" w:type="dxa"/>
            <w:tcBorders>
              <w:top w:val="nil"/>
              <w:left w:val="nil"/>
              <w:bottom w:val="single" w:color="000000"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652"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83,285.95</w:t>
            </w:r>
          </w:p>
        </w:tc>
        <w:tc>
          <w:tcPr>
            <w:tcW w:w="1487"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2,500.51</w:t>
            </w:r>
          </w:p>
        </w:tc>
        <w:tc>
          <w:tcPr>
            <w:tcW w:w="160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80,785.44</w:t>
            </w:r>
          </w:p>
        </w:tc>
        <w:tc>
          <w:tcPr>
            <w:tcW w:w="10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4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1652"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2,500.51</w:t>
            </w:r>
          </w:p>
        </w:tc>
        <w:tc>
          <w:tcPr>
            <w:tcW w:w="1487"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2,500.51</w:t>
            </w:r>
          </w:p>
        </w:tc>
        <w:tc>
          <w:tcPr>
            <w:tcW w:w="1609" w:type="dxa"/>
            <w:tcBorders>
              <w:top w:val="nil"/>
              <w:left w:val="nil"/>
              <w:bottom w:val="single" w:color="000000"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4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52"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367.96</w:t>
            </w:r>
          </w:p>
        </w:tc>
        <w:tc>
          <w:tcPr>
            <w:tcW w:w="1487"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367.96</w:t>
            </w:r>
          </w:p>
        </w:tc>
        <w:tc>
          <w:tcPr>
            <w:tcW w:w="1609" w:type="dxa"/>
            <w:tcBorders>
              <w:top w:val="nil"/>
              <w:left w:val="nil"/>
              <w:bottom w:val="single" w:color="000000"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2120105</w:t>
            </w:r>
          </w:p>
        </w:tc>
        <w:tc>
          <w:tcPr>
            <w:tcW w:w="4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工程建设标准规范编制与监管</w:t>
            </w:r>
          </w:p>
        </w:tc>
        <w:tc>
          <w:tcPr>
            <w:tcW w:w="1652"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207.76</w:t>
            </w:r>
          </w:p>
        </w:tc>
        <w:tc>
          <w:tcPr>
            <w:tcW w:w="1487"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207.76</w:t>
            </w:r>
          </w:p>
        </w:tc>
        <w:tc>
          <w:tcPr>
            <w:tcW w:w="1609" w:type="dxa"/>
            <w:tcBorders>
              <w:top w:val="nil"/>
              <w:left w:val="nil"/>
              <w:bottom w:val="single" w:color="000000"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2120106</w:t>
            </w:r>
          </w:p>
        </w:tc>
        <w:tc>
          <w:tcPr>
            <w:tcW w:w="4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工程建设管理</w:t>
            </w:r>
          </w:p>
        </w:tc>
        <w:tc>
          <w:tcPr>
            <w:tcW w:w="1652"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573.38</w:t>
            </w:r>
          </w:p>
        </w:tc>
        <w:tc>
          <w:tcPr>
            <w:tcW w:w="1487"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573.38</w:t>
            </w:r>
          </w:p>
        </w:tc>
        <w:tc>
          <w:tcPr>
            <w:tcW w:w="1609" w:type="dxa"/>
            <w:tcBorders>
              <w:top w:val="nil"/>
              <w:left w:val="nil"/>
              <w:bottom w:val="single" w:color="000000"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2120107</w:t>
            </w:r>
          </w:p>
        </w:tc>
        <w:tc>
          <w:tcPr>
            <w:tcW w:w="4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市政公用行业市场监管</w:t>
            </w:r>
          </w:p>
        </w:tc>
        <w:tc>
          <w:tcPr>
            <w:tcW w:w="1652"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161.30</w:t>
            </w:r>
          </w:p>
        </w:tc>
        <w:tc>
          <w:tcPr>
            <w:tcW w:w="1487"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161.30</w:t>
            </w:r>
          </w:p>
        </w:tc>
        <w:tc>
          <w:tcPr>
            <w:tcW w:w="1609" w:type="dxa"/>
            <w:tcBorders>
              <w:top w:val="nil"/>
              <w:left w:val="nil"/>
              <w:bottom w:val="single" w:color="000000"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4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652"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1,190.11</w:t>
            </w:r>
          </w:p>
        </w:tc>
        <w:tc>
          <w:tcPr>
            <w:tcW w:w="1487"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1,190.11</w:t>
            </w:r>
          </w:p>
        </w:tc>
        <w:tc>
          <w:tcPr>
            <w:tcW w:w="1609" w:type="dxa"/>
            <w:tcBorders>
              <w:top w:val="nil"/>
              <w:left w:val="nil"/>
              <w:bottom w:val="single" w:color="000000"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4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652"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c>
          <w:tcPr>
            <w:tcW w:w="1487" w:type="dxa"/>
            <w:tcBorders>
              <w:top w:val="nil"/>
              <w:left w:val="nil"/>
              <w:bottom w:val="single" w:color="000000"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c>
          <w:tcPr>
            <w:tcW w:w="10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4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652"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c>
          <w:tcPr>
            <w:tcW w:w="1487" w:type="dxa"/>
            <w:tcBorders>
              <w:top w:val="nil"/>
              <w:left w:val="nil"/>
              <w:bottom w:val="single" w:color="000000"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c>
          <w:tcPr>
            <w:tcW w:w="10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4445"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652"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1487" w:type="dxa"/>
            <w:tcBorders>
              <w:top w:val="nil"/>
              <w:left w:val="nil"/>
              <w:bottom w:val="single" w:color="auto"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9"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1000"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2120899</w:t>
            </w:r>
          </w:p>
        </w:tc>
        <w:tc>
          <w:tcPr>
            <w:tcW w:w="4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其他国有土地使用权出让收入安排的支出</w:t>
            </w:r>
          </w:p>
        </w:tc>
        <w:tc>
          <w:tcPr>
            <w:tcW w:w="1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1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w:t>
            </w:r>
          </w:p>
        </w:tc>
        <w:tc>
          <w:tcPr>
            <w:tcW w:w="4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城市基础设施配套费安排的支出</w:t>
            </w:r>
          </w:p>
        </w:tc>
        <w:tc>
          <w:tcPr>
            <w:tcW w:w="1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1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2121301</w:t>
            </w:r>
          </w:p>
        </w:tc>
        <w:tc>
          <w:tcPr>
            <w:tcW w:w="4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城市公共设施</w:t>
            </w:r>
          </w:p>
        </w:tc>
        <w:tc>
          <w:tcPr>
            <w:tcW w:w="1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1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21216</w:t>
            </w:r>
          </w:p>
        </w:tc>
        <w:tc>
          <w:tcPr>
            <w:tcW w:w="4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棚户区改造专项债券收入安排的支出</w:t>
            </w:r>
          </w:p>
        </w:tc>
        <w:tc>
          <w:tcPr>
            <w:tcW w:w="1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1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2121699</w:t>
            </w:r>
          </w:p>
        </w:tc>
        <w:tc>
          <w:tcPr>
            <w:tcW w:w="4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其他棚户区改造专项债券收入安排的支出</w:t>
            </w:r>
          </w:p>
        </w:tc>
        <w:tc>
          <w:tcPr>
            <w:tcW w:w="1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1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4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1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4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1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2200150</w:t>
            </w:r>
          </w:p>
        </w:tc>
        <w:tc>
          <w:tcPr>
            <w:tcW w:w="4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1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c>
          <w:tcPr>
            <w:tcW w:w="1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w:t>
            </w:r>
          </w:p>
        </w:tc>
        <w:tc>
          <w:tcPr>
            <w:tcW w:w="4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保障性安居工程支出</w:t>
            </w:r>
          </w:p>
        </w:tc>
        <w:tc>
          <w:tcPr>
            <w:tcW w:w="1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c>
          <w:tcPr>
            <w:tcW w:w="1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2210105</w:t>
            </w:r>
          </w:p>
        </w:tc>
        <w:tc>
          <w:tcPr>
            <w:tcW w:w="4445"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农村危房改造</w:t>
            </w:r>
          </w:p>
        </w:tc>
        <w:tc>
          <w:tcPr>
            <w:tcW w:w="1652"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1487"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9"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1000"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single" w:color="auto"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883"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2210108</w:t>
            </w:r>
          </w:p>
        </w:tc>
        <w:tc>
          <w:tcPr>
            <w:tcW w:w="4445"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老旧小区改造</w:t>
            </w:r>
          </w:p>
        </w:tc>
        <w:tc>
          <w:tcPr>
            <w:tcW w:w="1652"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230.00</w:t>
            </w:r>
          </w:p>
        </w:tc>
        <w:tc>
          <w:tcPr>
            <w:tcW w:w="1487" w:type="dxa"/>
            <w:tcBorders>
              <w:top w:val="nil"/>
              <w:left w:val="nil"/>
              <w:bottom w:val="single" w:color="000000" w:sz="4" w:space="0"/>
              <w:right w:val="single" w:color="000000"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230.00</w:t>
            </w:r>
          </w:p>
        </w:tc>
        <w:tc>
          <w:tcPr>
            <w:tcW w:w="1000"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83"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929" w:type="dxa"/>
            <w:tcBorders>
              <w:top w:val="nil"/>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3988" w:type="dxa"/>
            <w:gridSpan w:val="10"/>
            <w:tcBorders>
              <w:top w:val="nil"/>
              <w:left w:val="nil"/>
              <w:bottom w:val="nil"/>
              <w:right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注：本表反映部门本年度各项支出情况。</w:t>
            </w:r>
          </w:p>
        </w:tc>
      </w:tr>
    </w:tbl>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tbl>
      <w:tblPr>
        <w:tblStyle w:val="10"/>
        <w:tblW w:w="13847" w:type="dxa"/>
        <w:tblInd w:w="0" w:type="dxa"/>
        <w:tblLayout w:type="fixed"/>
        <w:tblCellMar>
          <w:top w:w="0" w:type="dxa"/>
          <w:left w:w="0" w:type="dxa"/>
          <w:bottom w:w="0" w:type="dxa"/>
          <w:right w:w="0" w:type="dxa"/>
        </w:tblCellMar>
      </w:tblPr>
      <w:tblGrid>
        <w:gridCol w:w="3430"/>
        <w:gridCol w:w="471"/>
        <w:gridCol w:w="1380"/>
        <w:gridCol w:w="3345"/>
        <w:gridCol w:w="471"/>
        <w:gridCol w:w="1020"/>
        <w:gridCol w:w="1410"/>
        <w:gridCol w:w="1145"/>
        <w:gridCol w:w="1175"/>
      </w:tblGrid>
      <w:tr>
        <w:tblPrEx>
          <w:tblCellMar>
            <w:top w:w="0" w:type="dxa"/>
            <w:left w:w="0" w:type="dxa"/>
            <w:bottom w:w="0" w:type="dxa"/>
            <w:right w:w="0" w:type="dxa"/>
          </w:tblCellMar>
        </w:tblPrEx>
        <w:trPr>
          <w:trHeight w:val="390" w:hRule="atLeast"/>
        </w:trPr>
        <w:tc>
          <w:tcPr>
            <w:tcW w:w="13847" w:type="dxa"/>
            <w:gridSpan w:val="9"/>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财政拨款收入支出决算总表</w:t>
            </w:r>
          </w:p>
        </w:tc>
      </w:tr>
      <w:tr>
        <w:tblPrEx>
          <w:tblCellMar>
            <w:top w:w="0" w:type="dxa"/>
            <w:left w:w="0" w:type="dxa"/>
            <w:bottom w:w="0" w:type="dxa"/>
            <w:right w:w="0" w:type="dxa"/>
          </w:tblCellMar>
        </w:tblPrEx>
        <w:trPr>
          <w:trHeight w:val="255" w:hRule="atLeast"/>
        </w:trPr>
        <w:tc>
          <w:tcPr>
            <w:tcW w:w="3430" w:type="dxa"/>
            <w:tcBorders>
              <w:top w:val="nil"/>
              <w:left w:val="nil"/>
              <w:bottom w:val="nil"/>
              <w:right w:val="nil"/>
            </w:tcBorders>
            <w:shd w:val="clear" w:color="auto" w:fill="FFFFFF"/>
            <w:tcMar>
              <w:top w:w="15" w:type="dxa"/>
              <w:left w:w="15" w:type="dxa"/>
              <w:right w:w="15" w:type="dxa"/>
            </w:tcMar>
            <w:vAlign w:val="bottom"/>
          </w:tcPr>
          <w:p>
            <w:pPr>
              <w:rPr>
                <w:rFonts w:hint="eastAsia" w:ascii="Arial" w:hAnsi="Arial" w:cs="Arial"/>
                <w:i w:val="0"/>
                <w:color w:val="000000"/>
                <w:sz w:val="20"/>
                <w:szCs w:val="20"/>
                <w:u w:val="none"/>
              </w:rPr>
            </w:pPr>
          </w:p>
        </w:tc>
        <w:tc>
          <w:tcPr>
            <w:tcW w:w="471"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38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334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471"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02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14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175" w:type="dxa"/>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公开04表</w:t>
            </w:r>
          </w:p>
        </w:tc>
      </w:tr>
      <w:tr>
        <w:tblPrEx>
          <w:tblCellMar>
            <w:top w:w="0" w:type="dxa"/>
            <w:left w:w="0" w:type="dxa"/>
            <w:bottom w:w="0" w:type="dxa"/>
            <w:right w:w="0" w:type="dxa"/>
          </w:tblCellMar>
        </w:tblPrEx>
        <w:trPr>
          <w:trHeight w:val="255" w:hRule="atLeast"/>
        </w:trPr>
        <w:tc>
          <w:tcPr>
            <w:tcW w:w="3430" w:type="dxa"/>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部门：许昌市建安区住房和城乡建设局</w:t>
            </w:r>
          </w:p>
        </w:tc>
        <w:tc>
          <w:tcPr>
            <w:tcW w:w="471" w:type="dxa"/>
            <w:tcBorders>
              <w:top w:val="nil"/>
              <w:left w:val="nil"/>
              <w:bottom w:val="nil"/>
              <w:right w:val="nil"/>
            </w:tcBorders>
            <w:shd w:val="clear" w:color="auto" w:fill="FFFFFF"/>
            <w:tcMar>
              <w:top w:w="15" w:type="dxa"/>
              <w:left w:w="15" w:type="dxa"/>
              <w:right w:w="15" w:type="dxa"/>
            </w:tcMar>
            <w:vAlign w:val="bottom"/>
          </w:tcPr>
          <w:p>
            <w:pPr>
              <w:rPr>
                <w:rFonts w:hint="eastAsia" w:ascii="宋体" w:hAnsi="宋体" w:eastAsia="宋体" w:cs="宋体"/>
                <w:i w:val="0"/>
                <w:color w:val="000000"/>
                <w:sz w:val="20"/>
                <w:szCs w:val="20"/>
                <w:u w:val="none"/>
              </w:rPr>
            </w:pPr>
          </w:p>
        </w:tc>
        <w:tc>
          <w:tcPr>
            <w:tcW w:w="138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334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471"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02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14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175" w:type="dxa"/>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trHeight w:val="308" w:hRule="atLeast"/>
        </w:trPr>
        <w:tc>
          <w:tcPr>
            <w:tcW w:w="528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8566" w:type="dxa"/>
            <w:gridSpan w:val="6"/>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tblPrEx>
          <w:tblCellMar>
            <w:top w:w="0" w:type="dxa"/>
            <w:left w:w="0" w:type="dxa"/>
            <w:bottom w:w="0" w:type="dxa"/>
            <w:right w:w="0" w:type="dxa"/>
          </w:tblCellMar>
        </w:tblPrEx>
        <w:trPr>
          <w:trHeight w:val="292" w:hRule="atLeast"/>
        </w:trPr>
        <w:tc>
          <w:tcPr>
            <w:tcW w:w="3430" w:type="dxa"/>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71"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380"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345"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71"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020"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10"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1145"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1175"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CellMar>
            <w:top w:w="0" w:type="dxa"/>
            <w:left w:w="0" w:type="dxa"/>
            <w:bottom w:w="0" w:type="dxa"/>
            <w:right w:w="0" w:type="dxa"/>
          </w:tblCellMar>
        </w:tblPrEx>
        <w:trPr>
          <w:trHeight w:val="615" w:hRule="atLeast"/>
        </w:trPr>
        <w:tc>
          <w:tcPr>
            <w:tcW w:w="3430"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1"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4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1"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10"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4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44,895.39</w:t>
            </w: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36.12</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36.12</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39,156.95</w:t>
            </w: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三、国有资本经营财政拨款</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83,285.95</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44,129.00</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39,156.95</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80"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471"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020"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84,052.34</w:t>
            </w: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84,060.02</w:t>
            </w: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44,903.07</w:t>
            </w: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39,156.95</w:t>
            </w: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7.68</w:t>
            </w: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3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7.68</w:t>
            </w:r>
          </w:p>
        </w:tc>
        <w:tc>
          <w:tcPr>
            <w:tcW w:w="33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4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430"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471" w:type="dxa"/>
            <w:tcBorders>
              <w:top w:val="single" w:color="auto"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380" w:type="dxa"/>
            <w:tcBorders>
              <w:top w:val="single" w:color="auto"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single" w:color="auto"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single" w:color="auto"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1020" w:type="dxa"/>
            <w:tcBorders>
              <w:top w:val="single" w:color="auto"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single" w:color="auto"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45" w:type="dxa"/>
            <w:tcBorders>
              <w:top w:val="single" w:color="auto"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75" w:type="dxa"/>
            <w:tcBorders>
              <w:top w:val="single" w:color="auto"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71" w:type="dxa"/>
            <w:tcBorders>
              <w:top w:val="nil"/>
              <w:left w:val="nil"/>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38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84,060.02</w:t>
            </w:r>
          </w:p>
        </w:tc>
        <w:tc>
          <w:tcPr>
            <w:tcW w:w="33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7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102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84,060.02</w:t>
            </w:r>
          </w:p>
        </w:tc>
        <w:tc>
          <w:tcPr>
            <w:tcW w:w="14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44,903.07</w:t>
            </w:r>
          </w:p>
        </w:tc>
        <w:tc>
          <w:tcPr>
            <w:tcW w:w="11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39,156.95</w:t>
            </w:r>
          </w:p>
        </w:tc>
        <w:tc>
          <w:tcPr>
            <w:tcW w:w="11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3847" w:type="dxa"/>
            <w:gridSpan w:val="9"/>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r>
    </w:tbl>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tbl>
      <w:tblPr>
        <w:tblStyle w:val="10"/>
        <w:tblW w:w="12990" w:type="dxa"/>
        <w:tblInd w:w="0" w:type="dxa"/>
        <w:shd w:val="clear" w:color="auto" w:fill="FFFFFF"/>
        <w:tblLayout w:type="fixed"/>
        <w:tblCellMar>
          <w:top w:w="0" w:type="dxa"/>
          <w:left w:w="0" w:type="dxa"/>
          <w:bottom w:w="0" w:type="dxa"/>
          <w:right w:w="0" w:type="dxa"/>
        </w:tblCellMar>
      </w:tblPr>
      <w:tblGrid>
        <w:gridCol w:w="266"/>
        <w:gridCol w:w="266"/>
        <w:gridCol w:w="268"/>
        <w:gridCol w:w="5198"/>
        <w:gridCol w:w="2740"/>
        <w:gridCol w:w="1868"/>
        <w:gridCol w:w="2384"/>
      </w:tblGrid>
      <w:tr>
        <w:tblPrEx>
          <w:shd w:val="clear" w:color="auto" w:fill="FFFFFF"/>
          <w:tblCellMar>
            <w:top w:w="0" w:type="dxa"/>
            <w:left w:w="0" w:type="dxa"/>
            <w:bottom w:w="0" w:type="dxa"/>
            <w:right w:w="0" w:type="dxa"/>
          </w:tblCellMar>
        </w:tblPrEx>
        <w:trPr>
          <w:trHeight w:val="390" w:hRule="atLeast"/>
        </w:trPr>
        <w:tc>
          <w:tcPr>
            <w:tcW w:w="12990" w:type="dxa"/>
            <w:gridSpan w:val="7"/>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一般公共预算财政拨款支出决算表</w:t>
            </w:r>
          </w:p>
        </w:tc>
      </w:tr>
      <w:tr>
        <w:tblPrEx>
          <w:shd w:val="clear" w:color="auto" w:fill="FFFFFF"/>
          <w:tblCellMar>
            <w:top w:w="0" w:type="dxa"/>
            <w:left w:w="0" w:type="dxa"/>
            <w:bottom w:w="0" w:type="dxa"/>
            <w:right w:w="0" w:type="dxa"/>
          </w:tblCellMar>
        </w:tblPrEx>
        <w:trPr>
          <w:trHeight w:val="255" w:hRule="atLeast"/>
        </w:trPr>
        <w:tc>
          <w:tcPr>
            <w:tcW w:w="266" w:type="dxa"/>
            <w:tcBorders>
              <w:top w:val="nil"/>
              <w:left w:val="nil"/>
              <w:bottom w:val="nil"/>
              <w:right w:val="nil"/>
            </w:tcBorders>
            <w:shd w:val="clear" w:color="auto" w:fill="FFFFFF"/>
            <w:tcMar>
              <w:top w:w="15" w:type="dxa"/>
              <w:left w:w="15" w:type="dxa"/>
              <w:right w:w="15" w:type="dxa"/>
            </w:tcMar>
            <w:vAlign w:val="bottom"/>
          </w:tcPr>
          <w:p>
            <w:pPr>
              <w:rPr>
                <w:rFonts w:hint="eastAsia" w:ascii="Arial" w:hAnsi="Arial" w:cs="Arial"/>
                <w:i w:val="0"/>
                <w:color w:val="000000"/>
                <w:sz w:val="20"/>
                <w:szCs w:val="20"/>
                <w:u w:val="none"/>
              </w:rPr>
            </w:pPr>
          </w:p>
        </w:tc>
        <w:tc>
          <w:tcPr>
            <w:tcW w:w="266"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268"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5198"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274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868"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2384" w:type="dxa"/>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公开05表</w:t>
            </w:r>
          </w:p>
        </w:tc>
      </w:tr>
      <w:tr>
        <w:tblPrEx>
          <w:shd w:val="clear" w:color="auto" w:fill="FFFFFF"/>
          <w:tblCellMar>
            <w:top w:w="0" w:type="dxa"/>
            <w:left w:w="0" w:type="dxa"/>
            <w:bottom w:w="0" w:type="dxa"/>
            <w:right w:w="0" w:type="dxa"/>
          </w:tblCellMar>
        </w:tblPrEx>
        <w:trPr>
          <w:trHeight w:val="255" w:hRule="atLeast"/>
        </w:trPr>
        <w:tc>
          <w:tcPr>
            <w:tcW w:w="5998" w:type="dxa"/>
            <w:gridSpan w:val="4"/>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both"/>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部门：许昌市建安区住房和城乡建设局</w:t>
            </w:r>
          </w:p>
        </w:tc>
        <w:tc>
          <w:tcPr>
            <w:tcW w:w="274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868"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2384" w:type="dxa"/>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shd w:val="clear" w:color="auto" w:fill="FFFFFF"/>
          <w:tblCellMar>
            <w:top w:w="0" w:type="dxa"/>
            <w:left w:w="0" w:type="dxa"/>
            <w:bottom w:w="0" w:type="dxa"/>
            <w:right w:w="0" w:type="dxa"/>
          </w:tblCellMar>
        </w:tblPrEx>
        <w:trPr>
          <w:trHeight w:val="308" w:hRule="atLeast"/>
        </w:trPr>
        <w:tc>
          <w:tcPr>
            <w:tcW w:w="5998"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6992" w:type="dxa"/>
            <w:gridSpan w:val="3"/>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shd w:val="clear" w:color="auto" w:fill="FFFFFF"/>
          <w:tblCellMar>
            <w:top w:w="0" w:type="dxa"/>
            <w:left w:w="0" w:type="dxa"/>
            <w:bottom w:w="0" w:type="dxa"/>
            <w:right w:w="0" w:type="dxa"/>
          </w:tblCellMar>
        </w:tblPrEx>
        <w:trPr>
          <w:trHeight w:val="308" w:hRule="atLeast"/>
        </w:trPr>
        <w:tc>
          <w:tcPr>
            <w:tcW w:w="800" w:type="dxa"/>
            <w:gridSpan w:val="3"/>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5198"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740"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868"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384"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shd w:val="clear" w:color="auto" w:fill="FFFFFF"/>
          <w:tblCellMar>
            <w:top w:w="0" w:type="dxa"/>
            <w:left w:w="0" w:type="dxa"/>
            <w:bottom w:w="0" w:type="dxa"/>
            <w:right w:w="0" w:type="dxa"/>
          </w:tblCellMar>
        </w:tblPrEx>
        <w:trPr>
          <w:trHeight w:val="277" w:hRule="atLeast"/>
        </w:trPr>
        <w:tc>
          <w:tcPr>
            <w:tcW w:w="800" w:type="dxa"/>
            <w:gridSpan w:val="3"/>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198"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40"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68"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84"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198"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40"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68"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384"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5998" w:type="dxa"/>
            <w:gridSpan w:val="4"/>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shd w:val="clear" w:color="auto" w:fill="FFFFFF"/>
          <w:tblCellMar>
            <w:top w:w="0" w:type="dxa"/>
            <w:left w:w="0" w:type="dxa"/>
            <w:bottom w:w="0" w:type="dxa"/>
            <w:right w:w="0" w:type="dxa"/>
          </w:tblCellMar>
        </w:tblPrEx>
        <w:trPr>
          <w:trHeight w:val="308" w:hRule="atLeast"/>
        </w:trPr>
        <w:tc>
          <w:tcPr>
            <w:tcW w:w="5998" w:type="dxa"/>
            <w:gridSpan w:val="4"/>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44,903.07</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3,036.08</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41,866.99</w:t>
            </w: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209.60</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2080501</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166.69</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166.69</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44,129.00</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2,500.51</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2,500.51</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2,500.51</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367.96</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367.96</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2120105</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工程建设标准规范编制与监管</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207.76</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207.76</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2120106</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工程建设管理</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573.38</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573.38</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2120107</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市政公用行业市场监管</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161.30</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161.30</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1,190.11</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1,190.11</w:t>
            </w: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519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274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c>
          <w:tcPr>
            <w:tcW w:w="186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3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41,628.49</w:t>
            </w: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nil"/>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5198"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740"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1868"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2384"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519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27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186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23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2200150</w:t>
            </w:r>
          </w:p>
        </w:tc>
        <w:tc>
          <w:tcPr>
            <w:tcW w:w="519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27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186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325.97</w:t>
            </w:r>
          </w:p>
        </w:tc>
        <w:tc>
          <w:tcPr>
            <w:tcW w:w="23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19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27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c>
          <w:tcPr>
            <w:tcW w:w="186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3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w:t>
            </w:r>
          </w:p>
        </w:tc>
        <w:tc>
          <w:tcPr>
            <w:tcW w:w="519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保障性安居工程支出</w:t>
            </w:r>
          </w:p>
        </w:tc>
        <w:tc>
          <w:tcPr>
            <w:tcW w:w="27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c>
          <w:tcPr>
            <w:tcW w:w="186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3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2210105</w:t>
            </w:r>
          </w:p>
        </w:tc>
        <w:tc>
          <w:tcPr>
            <w:tcW w:w="519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农村危房改造</w:t>
            </w:r>
          </w:p>
        </w:tc>
        <w:tc>
          <w:tcPr>
            <w:tcW w:w="27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186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3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r>
      <w:tr>
        <w:tblPrEx>
          <w:shd w:val="clear" w:color="auto" w:fill="FFFFFF"/>
          <w:tblCellMar>
            <w:top w:w="0" w:type="dxa"/>
            <w:left w:w="0" w:type="dxa"/>
            <w:bottom w:w="0" w:type="dxa"/>
            <w:right w:w="0" w:type="dxa"/>
          </w:tblCellMar>
        </w:tblPrEx>
        <w:trPr>
          <w:trHeight w:val="308" w:hRule="atLeast"/>
        </w:trPr>
        <w:tc>
          <w:tcPr>
            <w:tcW w:w="800"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2210108</w:t>
            </w:r>
          </w:p>
        </w:tc>
        <w:tc>
          <w:tcPr>
            <w:tcW w:w="519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老旧小区改造</w:t>
            </w:r>
          </w:p>
        </w:tc>
        <w:tc>
          <w:tcPr>
            <w:tcW w:w="27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230.00</w:t>
            </w:r>
          </w:p>
        </w:tc>
        <w:tc>
          <w:tcPr>
            <w:tcW w:w="186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3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230.00</w:t>
            </w:r>
          </w:p>
        </w:tc>
      </w:tr>
      <w:tr>
        <w:tblPrEx>
          <w:tblCellMar>
            <w:top w:w="0" w:type="dxa"/>
            <w:left w:w="0" w:type="dxa"/>
            <w:bottom w:w="0" w:type="dxa"/>
            <w:right w:w="0" w:type="dxa"/>
          </w:tblCellMar>
        </w:tblPrEx>
        <w:trPr>
          <w:trHeight w:val="308" w:hRule="atLeast"/>
        </w:trPr>
        <w:tc>
          <w:tcPr>
            <w:tcW w:w="12990" w:type="dxa"/>
            <w:gridSpan w:val="7"/>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注：本表反映部门本年度一般公共预算财政拨款支出情况。</w:t>
            </w:r>
          </w:p>
        </w:tc>
      </w:tr>
    </w:tbl>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tbl>
      <w:tblPr>
        <w:tblStyle w:val="10"/>
        <w:tblW w:w="13939" w:type="dxa"/>
        <w:tblInd w:w="0" w:type="dxa"/>
        <w:tblLayout w:type="fixed"/>
        <w:tblCellMar>
          <w:top w:w="0" w:type="dxa"/>
          <w:left w:w="0" w:type="dxa"/>
          <w:bottom w:w="0" w:type="dxa"/>
          <w:right w:w="0" w:type="dxa"/>
        </w:tblCellMar>
      </w:tblPr>
      <w:tblGrid>
        <w:gridCol w:w="657"/>
        <w:gridCol w:w="3330"/>
        <w:gridCol w:w="1051"/>
        <w:gridCol w:w="657"/>
        <w:gridCol w:w="2510"/>
        <w:gridCol w:w="793"/>
        <w:gridCol w:w="657"/>
        <w:gridCol w:w="3084"/>
        <w:gridCol w:w="1200"/>
      </w:tblGrid>
      <w:tr>
        <w:tblPrEx>
          <w:tblCellMar>
            <w:top w:w="0" w:type="dxa"/>
            <w:left w:w="0" w:type="dxa"/>
            <w:bottom w:w="0" w:type="dxa"/>
            <w:right w:w="0" w:type="dxa"/>
          </w:tblCellMar>
        </w:tblPrEx>
        <w:trPr>
          <w:trHeight w:val="390" w:hRule="atLeast"/>
        </w:trPr>
        <w:tc>
          <w:tcPr>
            <w:tcW w:w="13939" w:type="dxa"/>
            <w:gridSpan w:val="9"/>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一般公共预算财政拨款基本支出决算表</w:t>
            </w:r>
          </w:p>
        </w:tc>
      </w:tr>
      <w:tr>
        <w:tblPrEx>
          <w:tblCellMar>
            <w:top w:w="0" w:type="dxa"/>
            <w:left w:w="0" w:type="dxa"/>
            <w:bottom w:w="0" w:type="dxa"/>
            <w:right w:w="0" w:type="dxa"/>
          </w:tblCellMar>
        </w:tblPrEx>
        <w:trPr>
          <w:trHeight w:val="255" w:hRule="atLeast"/>
        </w:trPr>
        <w:tc>
          <w:tcPr>
            <w:tcW w:w="657" w:type="dxa"/>
            <w:tcBorders>
              <w:top w:val="nil"/>
              <w:left w:val="nil"/>
              <w:bottom w:val="nil"/>
              <w:right w:val="nil"/>
            </w:tcBorders>
            <w:shd w:val="clear" w:color="auto" w:fill="FFFFFF"/>
            <w:tcMar>
              <w:top w:w="15" w:type="dxa"/>
              <w:left w:w="15" w:type="dxa"/>
              <w:right w:w="15" w:type="dxa"/>
            </w:tcMar>
            <w:vAlign w:val="bottom"/>
          </w:tcPr>
          <w:p>
            <w:pPr>
              <w:rPr>
                <w:rFonts w:hint="eastAsia" w:ascii="Arial" w:hAnsi="Arial" w:cs="Arial"/>
                <w:i w:val="0"/>
                <w:color w:val="000000"/>
                <w:sz w:val="20"/>
                <w:szCs w:val="20"/>
                <w:u w:val="none"/>
              </w:rPr>
            </w:pPr>
          </w:p>
        </w:tc>
        <w:tc>
          <w:tcPr>
            <w:tcW w:w="333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051"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657"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251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793"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657"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3084"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200" w:type="dxa"/>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公开06表</w:t>
            </w:r>
          </w:p>
        </w:tc>
      </w:tr>
      <w:tr>
        <w:tblPrEx>
          <w:tblCellMar>
            <w:top w:w="0" w:type="dxa"/>
            <w:left w:w="0" w:type="dxa"/>
            <w:bottom w:w="0" w:type="dxa"/>
            <w:right w:w="0" w:type="dxa"/>
          </w:tblCellMar>
        </w:tblPrEx>
        <w:trPr>
          <w:trHeight w:val="255" w:hRule="atLeast"/>
        </w:trPr>
        <w:tc>
          <w:tcPr>
            <w:tcW w:w="3987" w:type="dxa"/>
            <w:gridSpan w:val="2"/>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both"/>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部门：许昌市建安区住房和城乡建设局</w:t>
            </w:r>
          </w:p>
        </w:tc>
        <w:tc>
          <w:tcPr>
            <w:tcW w:w="1051"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657"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251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793"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657"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3084"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200" w:type="dxa"/>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tblPrEx>
          <w:tblCellMar>
            <w:top w:w="0" w:type="dxa"/>
            <w:left w:w="0" w:type="dxa"/>
            <w:bottom w:w="0" w:type="dxa"/>
            <w:right w:w="0" w:type="dxa"/>
          </w:tblCellMar>
        </w:tblPrEx>
        <w:trPr>
          <w:trHeight w:val="308" w:hRule="atLeast"/>
        </w:trPr>
        <w:tc>
          <w:tcPr>
            <w:tcW w:w="5038"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8901" w:type="dxa"/>
            <w:gridSpan w:val="6"/>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tblPrEx>
          <w:tblCellMar>
            <w:top w:w="0" w:type="dxa"/>
            <w:left w:w="0" w:type="dxa"/>
            <w:bottom w:w="0" w:type="dxa"/>
            <w:right w:w="0" w:type="dxa"/>
          </w:tblCellMar>
        </w:tblPrEx>
        <w:trPr>
          <w:trHeight w:val="308" w:hRule="atLeast"/>
        </w:trPr>
        <w:tc>
          <w:tcPr>
            <w:tcW w:w="657" w:type="dxa"/>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330"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051"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657"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510"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793"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657"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084"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200"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CellMar>
            <w:top w:w="0" w:type="dxa"/>
            <w:left w:w="0" w:type="dxa"/>
            <w:bottom w:w="0" w:type="dxa"/>
            <w:right w:w="0" w:type="dxa"/>
          </w:tblCellMar>
        </w:tblPrEx>
        <w:trPr>
          <w:trHeight w:val="308" w:hRule="atLeast"/>
        </w:trPr>
        <w:tc>
          <w:tcPr>
            <w:tcW w:w="657"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30"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51"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57"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510"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3"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57"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084"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00"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2,662.20</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162.50</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779.81</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63.56</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247.96</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698.68</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0.49</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405.31</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180.42</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16.17</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80.08</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16.39</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10.07</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228.02</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211.39</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0.77</w:t>
            </w: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3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10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51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79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308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120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nil"/>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330"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1051"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203.12</w:t>
            </w:r>
          </w:p>
        </w:tc>
        <w:tc>
          <w:tcPr>
            <w:tcW w:w="657"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510"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793"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3084"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1200"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3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10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5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7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30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3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10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5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7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30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3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10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8.27</w:t>
            </w: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5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7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30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3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10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5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7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27.62</w:t>
            </w: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30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3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10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5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7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39906</w:t>
            </w:r>
          </w:p>
        </w:tc>
        <w:tc>
          <w:tcPr>
            <w:tcW w:w="30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赠与</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3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10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5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7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30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3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10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5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7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30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3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10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5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7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30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3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10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5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7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w:t>
            </w: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0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3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10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5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7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0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3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51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7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65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08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987"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10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2,873.58</w:t>
            </w:r>
          </w:p>
        </w:tc>
        <w:tc>
          <w:tcPr>
            <w:tcW w:w="7701" w:type="dxa"/>
            <w:gridSpan w:val="5"/>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162.5</w:t>
            </w:r>
          </w:p>
        </w:tc>
      </w:tr>
      <w:tr>
        <w:tblPrEx>
          <w:tblCellMar>
            <w:top w:w="0" w:type="dxa"/>
            <w:left w:w="0" w:type="dxa"/>
            <w:bottom w:w="0" w:type="dxa"/>
            <w:right w:w="0" w:type="dxa"/>
          </w:tblCellMar>
        </w:tblPrEx>
        <w:trPr>
          <w:trHeight w:val="308" w:hRule="atLeast"/>
        </w:trPr>
        <w:tc>
          <w:tcPr>
            <w:tcW w:w="13939" w:type="dxa"/>
            <w:gridSpan w:val="9"/>
            <w:tcBorders>
              <w:top w:val="single" w:color="auto" w:sz="4" w:space="0"/>
              <w:left w:val="nil"/>
              <w:bottom w:val="nil"/>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注：本表反映部门本年度一般公共预算财政拨款基本支出明细情况。</w:t>
            </w:r>
          </w:p>
        </w:tc>
      </w:tr>
    </w:tbl>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tbl>
      <w:tblPr>
        <w:tblStyle w:val="10"/>
        <w:tblW w:w="13755" w:type="dxa"/>
        <w:tblInd w:w="0" w:type="dxa"/>
        <w:tblLayout w:type="fixed"/>
        <w:tblCellMar>
          <w:top w:w="0" w:type="dxa"/>
          <w:left w:w="0" w:type="dxa"/>
          <w:bottom w:w="0" w:type="dxa"/>
          <w:right w:w="0" w:type="dxa"/>
        </w:tblCellMar>
      </w:tblPr>
      <w:tblGrid>
        <w:gridCol w:w="3430"/>
        <w:gridCol w:w="1095"/>
        <w:gridCol w:w="804"/>
        <w:gridCol w:w="883"/>
        <w:gridCol w:w="883"/>
        <w:gridCol w:w="801"/>
        <w:gridCol w:w="774"/>
        <w:gridCol w:w="1151"/>
        <w:gridCol w:w="774"/>
        <w:gridCol w:w="883"/>
        <w:gridCol w:w="847"/>
        <w:gridCol w:w="1430"/>
      </w:tblGrid>
      <w:tr>
        <w:tblPrEx>
          <w:tblCellMar>
            <w:top w:w="0" w:type="dxa"/>
            <w:left w:w="0" w:type="dxa"/>
            <w:bottom w:w="0" w:type="dxa"/>
            <w:right w:w="0" w:type="dxa"/>
          </w:tblCellMar>
        </w:tblPrEx>
        <w:trPr>
          <w:trHeight w:val="540" w:hRule="atLeast"/>
        </w:trPr>
        <w:tc>
          <w:tcPr>
            <w:tcW w:w="13755" w:type="dxa"/>
            <w:gridSpan w:val="12"/>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kern w:val="0"/>
                <w:sz w:val="44"/>
                <w:szCs w:val="44"/>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30"/>
                <w:szCs w:val="30"/>
                <w:u w:val="none"/>
                <w:lang w:val="en-US" w:eastAsia="zh-CN" w:bidi="ar"/>
              </w:rPr>
              <w:t>一般公共预算财政拨款“三公”经费支出决算表</w:t>
            </w:r>
          </w:p>
        </w:tc>
      </w:tr>
      <w:tr>
        <w:tblPrEx>
          <w:tblCellMar>
            <w:top w:w="0" w:type="dxa"/>
            <w:left w:w="0" w:type="dxa"/>
            <w:bottom w:w="0" w:type="dxa"/>
            <w:right w:w="0" w:type="dxa"/>
          </w:tblCellMar>
        </w:tblPrEx>
        <w:trPr>
          <w:trHeight w:val="255" w:hRule="atLeast"/>
        </w:trPr>
        <w:tc>
          <w:tcPr>
            <w:tcW w:w="3430" w:type="dxa"/>
            <w:tcBorders>
              <w:top w:val="nil"/>
              <w:left w:val="nil"/>
              <w:bottom w:val="nil"/>
              <w:right w:val="nil"/>
            </w:tcBorders>
            <w:shd w:val="clear" w:color="auto" w:fill="FFFFFF"/>
            <w:tcMar>
              <w:top w:w="15" w:type="dxa"/>
              <w:left w:w="15" w:type="dxa"/>
              <w:right w:w="15" w:type="dxa"/>
            </w:tcMar>
            <w:vAlign w:val="bottom"/>
          </w:tcPr>
          <w:p>
            <w:pPr>
              <w:rPr>
                <w:rFonts w:hint="eastAsia" w:ascii="Arial" w:hAnsi="Arial" w:cs="Arial"/>
                <w:i w:val="0"/>
                <w:color w:val="000000"/>
                <w:sz w:val="20"/>
                <w:szCs w:val="20"/>
                <w:u w:val="none"/>
              </w:rPr>
            </w:pPr>
          </w:p>
        </w:tc>
        <w:tc>
          <w:tcPr>
            <w:tcW w:w="109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804"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883"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883"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801"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774"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151"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774"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883"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847"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430" w:type="dxa"/>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CellMar>
            <w:top w:w="0" w:type="dxa"/>
            <w:left w:w="0" w:type="dxa"/>
            <w:bottom w:w="0" w:type="dxa"/>
            <w:right w:w="0" w:type="dxa"/>
          </w:tblCellMar>
        </w:tblPrEx>
        <w:trPr>
          <w:trHeight w:val="255" w:hRule="atLeast"/>
        </w:trPr>
        <w:tc>
          <w:tcPr>
            <w:tcW w:w="3430" w:type="dxa"/>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部门：许昌市建安区住房和城乡建设局</w:t>
            </w:r>
          </w:p>
        </w:tc>
        <w:tc>
          <w:tcPr>
            <w:tcW w:w="109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804"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883"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883"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801"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774"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151"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774"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883"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847"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430" w:type="dxa"/>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trHeight w:val="308" w:hRule="atLeast"/>
        </w:trPr>
        <w:tc>
          <w:tcPr>
            <w:tcW w:w="7896"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5859" w:type="dxa"/>
            <w:gridSpan w:val="6"/>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CellMar>
            <w:top w:w="0" w:type="dxa"/>
            <w:left w:w="0" w:type="dxa"/>
            <w:bottom w:w="0" w:type="dxa"/>
            <w:right w:w="0" w:type="dxa"/>
          </w:tblCellMar>
        </w:tblPrEx>
        <w:trPr>
          <w:trHeight w:val="308" w:hRule="atLeast"/>
        </w:trPr>
        <w:tc>
          <w:tcPr>
            <w:tcW w:w="3430" w:type="dxa"/>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95"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2570" w:type="dxa"/>
            <w:gridSpan w:val="3"/>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801"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774"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51"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2504" w:type="dxa"/>
            <w:gridSpan w:val="3"/>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430"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CellMar>
            <w:top w:w="0" w:type="dxa"/>
            <w:left w:w="0" w:type="dxa"/>
            <w:bottom w:w="0" w:type="dxa"/>
            <w:right w:w="0" w:type="dxa"/>
          </w:tblCellMar>
        </w:tblPrEx>
        <w:trPr>
          <w:trHeight w:val="615" w:hRule="atLeast"/>
        </w:trPr>
        <w:tc>
          <w:tcPr>
            <w:tcW w:w="3430"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9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0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8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8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801"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74"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51"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7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8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84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430"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9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0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8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0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77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77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8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4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CellMar>
            <w:top w:w="0" w:type="dxa"/>
            <w:left w:w="0" w:type="dxa"/>
            <w:bottom w:w="0" w:type="dxa"/>
            <w:right w:w="0" w:type="dxa"/>
          </w:tblCellMar>
        </w:tblPrEx>
        <w:trPr>
          <w:trHeight w:val="308" w:hRule="atLeast"/>
        </w:trPr>
        <w:tc>
          <w:tcPr>
            <w:tcW w:w="3430"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09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80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8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8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80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77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774"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883"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847"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4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15" w:hRule="atLeast"/>
        </w:trPr>
        <w:tc>
          <w:tcPr>
            <w:tcW w:w="13755" w:type="dxa"/>
            <w:gridSpan w:val="12"/>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注：本表反映部门本年度“三公”经费支出预决算情况。其中，预算数为“三公”经费全年预算数；决算数是包括当年一般公共预算财政拨款和以前年度结转资金安排的实际支出。</w:t>
            </w:r>
          </w:p>
        </w:tc>
      </w:tr>
    </w:tbl>
    <w:p>
      <w:pPr>
        <w:pStyle w:val="2"/>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说明：我部门没有预算安排的三公经费，也没有预算安排的三公支出，故本表无数据</w:t>
      </w: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tbl>
      <w:tblPr>
        <w:tblStyle w:val="10"/>
        <w:tblW w:w="13695" w:type="dxa"/>
        <w:tblInd w:w="0" w:type="dxa"/>
        <w:tblLayout w:type="fixed"/>
        <w:tblCellMar>
          <w:top w:w="0" w:type="dxa"/>
          <w:left w:w="0" w:type="dxa"/>
          <w:bottom w:w="0" w:type="dxa"/>
          <w:right w:w="0" w:type="dxa"/>
        </w:tblCellMar>
      </w:tblPr>
      <w:tblGrid>
        <w:gridCol w:w="1887"/>
        <w:gridCol w:w="240"/>
        <w:gridCol w:w="240"/>
        <w:gridCol w:w="4245"/>
        <w:gridCol w:w="990"/>
        <w:gridCol w:w="1245"/>
        <w:gridCol w:w="1125"/>
        <w:gridCol w:w="975"/>
        <w:gridCol w:w="1318"/>
        <w:gridCol w:w="1430"/>
      </w:tblGrid>
      <w:tr>
        <w:tblPrEx>
          <w:tblCellMar>
            <w:top w:w="0" w:type="dxa"/>
            <w:left w:w="0" w:type="dxa"/>
            <w:bottom w:w="0" w:type="dxa"/>
            <w:right w:w="0" w:type="dxa"/>
          </w:tblCellMar>
        </w:tblPrEx>
        <w:trPr>
          <w:trHeight w:val="390" w:hRule="atLeast"/>
        </w:trPr>
        <w:tc>
          <w:tcPr>
            <w:tcW w:w="13695" w:type="dxa"/>
            <w:gridSpan w:val="10"/>
            <w:tcBorders>
              <w:top w:val="nil"/>
              <w:left w:val="nil"/>
              <w:bottom w:val="nil"/>
              <w:right w:val="nil"/>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政府性基金预算财政拨款收入支出决算表</w:t>
            </w:r>
          </w:p>
        </w:tc>
      </w:tr>
      <w:tr>
        <w:tblPrEx>
          <w:tblCellMar>
            <w:top w:w="0" w:type="dxa"/>
            <w:left w:w="0" w:type="dxa"/>
            <w:bottom w:w="0" w:type="dxa"/>
            <w:right w:w="0" w:type="dxa"/>
          </w:tblCellMar>
        </w:tblPrEx>
        <w:trPr>
          <w:trHeight w:val="255" w:hRule="atLeast"/>
        </w:trPr>
        <w:tc>
          <w:tcPr>
            <w:tcW w:w="1887" w:type="dxa"/>
            <w:tcBorders>
              <w:top w:val="nil"/>
              <w:left w:val="nil"/>
              <w:bottom w:val="nil"/>
              <w:right w:val="nil"/>
            </w:tcBorders>
            <w:shd w:val="clear" w:color="auto" w:fill="FFFFFF"/>
            <w:tcMar>
              <w:top w:w="15" w:type="dxa"/>
              <w:left w:w="15" w:type="dxa"/>
              <w:right w:w="15" w:type="dxa"/>
            </w:tcMar>
            <w:vAlign w:val="bottom"/>
          </w:tcPr>
          <w:p>
            <w:pPr>
              <w:rPr>
                <w:rFonts w:hint="eastAsia" w:ascii="Arial" w:hAnsi="Arial" w:cs="Arial"/>
                <w:i w:val="0"/>
                <w:color w:val="000000"/>
                <w:sz w:val="20"/>
                <w:szCs w:val="20"/>
                <w:u w:val="none"/>
              </w:rPr>
            </w:pPr>
          </w:p>
        </w:tc>
        <w:tc>
          <w:tcPr>
            <w:tcW w:w="24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424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99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24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12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97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318"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430" w:type="dxa"/>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CellMar>
            <w:top w:w="0" w:type="dxa"/>
            <w:left w:w="0" w:type="dxa"/>
            <w:bottom w:w="0" w:type="dxa"/>
            <w:right w:w="0" w:type="dxa"/>
          </w:tblCellMar>
        </w:tblPrEx>
        <w:trPr>
          <w:trHeight w:val="255" w:hRule="atLeast"/>
        </w:trPr>
        <w:tc>
          <w:tcPr>
            <w:tcW w:w="6612" w:type="dxa"/>
            <w:gridSpan w:val="4"/>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部门：许昌市建安区住房和城乡建设局</w:t>
            </w:r>
          </w:p>
        </w:tc>
        <w:tc>
          <w:tcPr>
            <w:tcW w:w="990"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24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12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975"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318" w:type="dxa"/>
            <w:tcBorders>
              <w:top w:val="nil"/>
              <w:left w:val="nil"/>
              <w:bottom w:val="nil"/>
              <w:right w:val="nil"/>
            </w:tcBorders>
            <w:shd w:val="clear" w:color="auto" w:fill="FFFFFF"/>
            <w:tcMar>
              <w:top w:w="15" w:type="dxa"/>
              <w:left w:w="15" w:type="dxa"/>
              <w:right w:w="15" w:type="dxa"/>
            </w:tcMar>
            <w:vAlign w:val="bottom"/>
          </w:tcPr>
          <w:p>
            <w:pPr>
              <w:rPr>
                <w:rFonts w:hint="default" w:ascii="Arial" w:hAnsi="Arial" w:cs="Arial"/>
                <w:i w:val="0"/>
                <w:color w:val="000000"/>
                <w:sz w:val="20"/>
                <w:szCs w:val="20"/>
                <w:u w:val="none"/>
              </w:rPr>
            </w:pPr>
          </w:p>
        </w:tc>
        <w:tc>
          <w:tcPr>
            <w:tcW w:w="1430" w:type="dxa"/>
            <w:tcBorders>
              <w:top w:val="nil"/>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trHeight w:val="308" w:hRule="atLeast"/>
        </w:trPr>
        <w:tc>
          <w:tcPr>
            <w:tcW w:w="6612"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990"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1245"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3418" w:type="dxa"/>
            <w:gridSpan w:val="3"/>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c>
          <w:tcPr>
            <w:tcW w:w="1430" w:type="dxa"/>
            <w:vMerge w:val="restart"/>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r>
      <w:tr>
        <w:tblPrEx>
          <w:tblCellMar>
            <w:top w:w="0" w:type="dxa"/>
            <w:left w:w="0" w:type="dxa"/>
            <w:bottom w:w="0" w:type="dxa"/>
            <w:right w:w="0" w:type="dxa"/>
          </w:tblCellMar>
        </w:tblPrEx>
        <w:trPr>
          <w:trHeight w:val="308" w:hRule="atLeast"/>
        </w:trPr>
        <w:tc>
          <w:tcPr>
            <w:tcW w:w="2367" w:type="dxa"/>
            <w:gridSpan w:val="3"/>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4245"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990"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975"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318"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430"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2367" w:type="dxa"/>
            <w:gridSpan w:val="3"/>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24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18"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30"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2367" w:type="dxa"/>
            <w:gridSpan w:val="3"/>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24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5"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18"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30" w:type="dxa"/>
            <w:vMerge w:val="continue"/>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6612" w:type="dxa"/>
            <w:gridSpan w:val="4"/>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9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2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1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CellMar>
            <w:top w:w="0" w:type="dxa"/>
            <w:left w:w="0" w:type="dxa"/>
            <w:bottom w:w="0" w:type="dxa"/>
            <w:right w:w="0" w:type="dxa"/>
          </w:tblCellMar>
        </w:tblPrEx>
        <w:trPr>
          <w:trHeight w:val="308" w:hRule="atLeast"/>
        </w:trPr>
        <w:tc>
          <w:tcPr>
            <w:tcW w:w="6612" w:type="dxa"/>
            <w:gridSpan w:val="4"/>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9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39,156.95</w:t>
            </w:r>
          </w:p>
        </w:tc>
        <w:tc>
          <w:tcPr>
            <w:tcW w:w="112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39,156.95</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31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39,156.95</w:t>
            </w:r>
          </w:p>
        </w:tc>
        <w:tc>
          <w:tcPr>
            <w:tcW w:w="14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1.65</w:t>
            </w:r>
          </w:p>
        </w:tc>
      </w:tr>
      <w:tr>
        <w:tblPrEx>
          <w:tblCellMar>
            <w:top w:w="0" w:type="dxa"/>
            <w:left w:w="0" w:type="dxa"/>
            <w:bottom w:w="0" w:type="dxa"/>
            <w:right w:w="0" w:type="dxa"/>
          </w:tblCellMar>
        </w:tblPrEx>
        <w:trPr>
          <w:trHeight w:val="308" w:hRule="atLeast"/>
        </w:trPr>
        <w:tc>
          <w:tcPr>
            <w:tcW w:w="2367"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99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39,156.95</w:t>
            </w:r>
          </w:p>
        </w:tc>
        <w:tc>
          <w:tcPr>
            <w:tcW w:w="112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39,156.95</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1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39,156.95</w:t>
            </w:r>
          </w:p>
        </w:tc>
        <w:tc>
          <w:tcPr>
            <w:tcW w:w="14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1.65</w:t>
            </w:r>
          </w:p>
        </w:tc>
      </w:tr>
      <w:tr>
        <w:tblPrEx>
          <w:tblCellMar>
            <w:top w:w="0" w:type="dxa"/>
            <w:left w:w="0" w:type="dxa"/>
            <w:bottom w:w="0" w:type="dxa"/>
            <w:right w:w="0" w:type="dxa"/>
          </w:tblCellMar>
        </w:tblPrEx>
        <w:trPr>
          <w:trHeight w:val="308" w:hRule="atLeast"/>
        </w:trPr>
        <w:tc>
          <w:tcPr>
            <w:tcW w:w="2367"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4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99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112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1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14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1.65</w:t>
            </w:r>
          </w:p>
        </w:tc>
      </w:tr>
      <w:tr>
        <w:tblPrEx>
          <w:tblCellMar>
            <w:top w:w="0" w:type="dxa"/>
            <w:left w:w="0" w:type="dxa"/>
            <w:bottom w:w="0" w:type="dxa"/>
            <w:right w:w="0" w:type="dxa"/>
          </w:tblCellMar>
        </w:tblPrEx>
        <w:trPr>
          <w:trHeight w:val="308" w:hRule="atLeast"/>
        </w:trPr>
        <w:tc>
          <w:tcPr>
            <w:tcW w:w="2367"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2120899</w:t>
            </w:r>
          </w:p>
        </w:tc>
        <w:tc>
          <w:tcPr>
            <w:tcW w:w="4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其他国有土地使用权出让收入安排的支出</w:t>
            </w:r>
          </w:p>
        </w:tc>
        <w:tc>
          <w:tcPr>
            <w:tcW w:w="99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112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1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37,656.95</w:t>
            </w:r>
          </w:p>
        </w:tc>
        <w:tc>
          <w:tcPr>
            <w:tcW w:w="14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1.65</w:t>
            </w:r>
          </w:p>
        </w:tc>
      </w:tr>
      <w:tr>
        <w:tblPrEx>
          <w:tblCellMar>
            <w:top w:w="0" w:type="dxa"/>
            <w:left w:w="0" w:type="dxa"/>
            <w:bottom w:w="0" w:type="dxa"/>
            <w:right w:w="0" w:type="dxa"/>
          </w:tblCellMar>
        </w:tblPrEx>
        <w:trPr>
          <w:trHeight w:val="308" w:hRule="atLeast"/>
        </w:trPr>
        <w:tc>
          <w:tcPr>
            <w:tcW w:w="2367"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w:t>
            </w:r>
          </w:p>
        </w:tc>
        <w:tc>
          <w:tcPr>
            <w:tcW w:w="4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城市基础设施配套费安排的支出</w:t>
            </w:r>
          </w:p>
        </w:tc>
        <w:tc>
          <w:tcPr>
            <w:tcW w:w="99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112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1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14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2367"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2121301</w:t>
            </w:r>
          </w:p>
        </w:tc>
        <w:tc>
          <w:tcPr>
            <w:tcW w:w="4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城市公共设施</w:t>
            </w:r>
          </w:p>
        </w:tc>
        <w:tc>
          <w:tcPr>
            <w:tcW w:w="99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112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1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14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2367"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21216</w:t>
            </w:r>
          </w:p>
        </w:tc>
        <w:tc>
          <w:tcPr>
            <w:tcW w:w="4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棚户区改造专项债券收入安排的支出</w:t>
            </w:r>
          </w:p>
        </w:tc>
        <w:tc>
          <w:tcPr>
            <w:tcW w:w="99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112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1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14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2367"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2121699</w:t>
            </w:r>
          </w:p>
        </w:tc>
        <w:tc>
          <w:tcPr>
            <w:tcW w:w="4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其他棚户区改造专项债券收入安排的支出</w:t>
            </w:r>
          </w:p>
        </w:tc>
        <w:tc>
          <w:tcPr>
            <w:tcW w:w="99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112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1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14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2367" w:type="dxa"/>
            <w:gridSpan w:val="3"/>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9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4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2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18"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3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13695" w:type="dxa"/>
            <w:gridSpan w:val="10"/>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注：本表反映部门本年度政府性基金预算财政拨款收入、支出及结转和结余情况。</w:t>
            </w:r>
          </w:p>
        </w:tc>
      </w:tr>
    </w:tbl>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sectPr>
          <w:pgSz w:w="16838" w:h="11906" w:orient="landscape"/>
          <w:pgMar w:top="1800" w:right="1440" w:bottom="1800" w:left="1440" w:header="720" w:footer="720" w:gutter="0"/>
          <w:pgBorders>
            <w:top w:val="none" w:sz="0" w:space="0"/>
            <w:left w:val="none" w:sz="0" w:space="0"/>
            <w:bottom w:val="none" w:sz="0" w:space="0"/>
            <w:right w:val="none" w:sz="0" w:space="0"/>
          </w:pgBorders>
          <w:pgNumType w:fmt="numberInDash"/>
          <w:cols w:space="720" w:num="1"/>
          <w:docGrid w:type="lines" w:linePitch="312" w:charSpace="0"/>
        </w:sectPr>
      </w:pPr>
    </w:p>
    <w:p>
      <w:pPr>
        <w:rPr>
          <w:rFonts w:hint="eastAsia" w:ascii="仿宋_GB2312" w:hAnsi="仿宋_GB2312" w:eastAsia="仿宋_GB2312" w:cs="仿宋_GB2312"/>
          <w:color w:val="auto"/>
          <w:sz w:val="32"/>
          <w:szCs w:val="32"/>
          <w:highlight w:val="none"/>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outlineLvl w:val="0"/>
        <w:rPr>
          <w:rFonts w:hint="eastAsia" w:ascii="黑体" w:hAnsi="黑体" w:eastAsia="黑体" w:cs="黑体"/>
          <w:color w:val="auto"/>
          <w:sz w:val="48"/>
          <w:szCs w:val="48"/>
          <w:highlight w:val="none"/>
        </w:rPr>
      </w:pPr>
      <w:r>
        <w:rPr>
          <w:rFonts w:hint="eastAsia" w:ascii="黑体" w:hAnsi="黑体" w:eastAsia="黑体" w:cs="黑体"/>
          <w:color w:val="auto"/>
          <w:sz w:val="48"/>
          <w:szCs w:val="48"/>
          <w:highlight w:val="none"/>
        </w:rPr>
        <w:t>第</w:t>
      </w:r>
      <w:r>
        <w:rPr>
          <w:rFonts w:hint="eastAsia" w:ascii="黑体" w:hAnsi="黑体" w:eastAsia="黑体" w:cs="黑体"/>
          <w:color w:val="auto"/>
          <w:sz w:val="48"/>
          <w:szCs w:val="48"/>
          <w:highlight w:val="none"/>
          <w:lang w:eastAsia="zh-CN"/>
        </w:rPr>
        <w:t>三</w:t>
      </w:r>
      <w:r>
        <w:rPr>
          <w:rFonts w:hint="eastAsia" w:ascii="黑体" w:hAnsi="黑体" w:eastAsia="黑体" w:cs="黑体"/>
          <w:color w:val="auto"/>
          <w:sz w:val="48"/>
          <w:szCs w:val="48"/>
          <w:highlight w:val="none"/>
        </w:rPr>
        <w:t>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lang w:eastAsia="zh-CN"/>
        </w:rPr>
        <w:t>20</w:t>
      </w:r>
      <w:r>
        <w:rPr>
          <w:rFonts w:hint="eastAsia" w:ascii="黑体" w:hAnsi="黑体" w:eastAsia="黑体" w:cs="黑体"/>
          <w:color w:val="auto"/>
          <w:sz w:val="48"/>
          <w:szCs w:val="48"/>
          <w:highlight w:val="none"/>
          <w:lang w:val="en-US" w:eastAsia="zh-CN"/>
        </w:rPr>
        <w:t>21</w:t>
      </w:r>
      <w:r>
        <w:rPr>
          <w:rFonts w:hint="eastAsia" w:ascii="黑体" w:hAnsi="黑体" w:eastAsia="黑体" w:cs="黑体"/>
          <w:color w:val="auto"/>
          <w:sz w:val="48"/>
          <w:szCs w:val="48"/>
          <w:highlight w:val="none"/>
          <w:lang w:eastAsia="zh-CN"/>
        </w:rPr>
        <w:t>年度</w:t>
      </w:r>
      <w:r>
        <w:rPr>
          <w:rFonts w:hint="eastAsia" w:ascii="黑体" w:hAnsi="黑体" w:eastAsia="黑体" w:cs="黑体"/>
          <w:color w:val="auto"/>
          <w:sz w:val="48"/>
          <w:szCs w:val="48"/>
          <w:highlight w:val="none"/>
        </w:rPr>
        <w:t>部门决算情况说明</w:t>
      </w:r>
    </w:p>
    <w:p>
      <w:pPr>
        <w:widowControl/>
        <w:jc w:val="left"/>
        <w:rPr>
          <w:rFonts w:hint="eastAsia" w:ascii="黑体" w:hAnsi="黑体" w:eastAsia="黑体" w:cs="黑体"/>
          <w:color w:val="auto"/>
          <w:sz w:val="48"/>
          <w:szCs w:val="48"/>
          <w:highlight w:val="none"/>
        </w:rPr>
        <w:sectPr>
          <w:pgSz w:w="11906" w:h="16838"/>
          <w:pgMar w:top="1440" w:right="1800" w:bottom="1440" w:left="1800" w:header="720" w:footer="720" w:gutter="0"/>
          <w:pgBorders>
            <w:top w:val="none" w:sz="0" w:space="0"/>
            <w:left w:val="none" w:sz="0" w:space="0"/>
            <w:bottom w:val="none" w:sz="0" w:space="0"/>
            <w:right w:val="none" w:sz="0" w:space="0"/>
          </w:pgBorders>
          <w:pgNumType w:fmt="numberInDash"/>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一、收入支出决算总体情况说明</w:t>
      </w:r>
    </w:p>
    <w:p>
      <w:pPr>
        <w:spacing w:beforeLines="0" w:afterLines="0" w:line="590" w:lineRule="exact"/>
        <w:ind w:firstLine="640"/>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sz w:val="32"/>
          <w:szCs w:val="24"/>
        </w:rPr>
        <w:t>2021年度收、支总计均为84,060.02万元。与上年度相比，收、支总计各增加41,188.05万元，增长96.07%。主要原因是</w:t>
      </w:r>
      <w:r>
        <w:rPr>
          <w:rFonts w:hint="eastAsia" w:ascii="仿宋_GB2312" w:hAnsi="仿宋_GB2312" w:eastAsia="仿宋_GB2312"/>
          <w:sz w:val="32"/>
          <w:szCs w:val="24"/>
          <w:lang w:val="en-US" w:eastAsia="zh-CN"/>
        </w:rPr>
        <w:t>政府性基金收入增加</w:t>
      </w:r>
      <w:r>
        <w:rPr>
          <w:rFonts w:hint="eastAsia" w:ascii="仿宋_GB2312" w:hAnsi="仿宋_GB2312" w:eastAsia="仿宋_GB2312"/>
          <w:sz w:val="32"/>
          <w:szCs w:val="24"/>
        </w:rPr>
        <w:t>。</w:t>
      </w:r>
    </w:p>
    <w:p>
      <w:pPr>
        <w:keepNext w:val="0"/>
        <w:keepLines w:val="0"/>
        <w:pageBreakBefore w:val="0"/>
        <w:widowControl/>
        <w:kinsoku/>
        <w:wordWrap/>
        <w:overflowPunct/>
        <w:topLinePunct w:val="0"/>
        <w:autoSpaceDE/>
        <w:autoSpaceDN/>
        <w:bidi w:val="0"/>
        <w:adjustRightInd/>
        <w:snapToGrid/>
        <w:spacing w:line="590" w:lineRule="exact"/>
        <w:ind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二、收入决算情况说明</w:t>
      </w:r>
    </w:p>
    <w:p>
      <w:pPr>
        <w:keepNext w:val="0"/>
        <w:keepLines w:val="0"/>
        <w:pageBreakBefore w:val="0"/>
        <w:widowControl/>
        <w:kinsoku/>
        <w:wordWrap/>
        <w:overflowPunct/>
        <w:topLinePunct w:val="0"/>
        <w:autoSpaceDE/>
        <w:autoSpaceDN/>
        <w:bidi w:val="0"/>
        <w:adjustRightInd/>
        <w:snapToGrid/>
        <w:spacing w:line="590" w:lineRule="exact"/>
        <w:ind w:right="0" w:rightChars="0" w:firstLine="640" w:firstLineChars="200"/>
        <w:jc w:val="both"/>
        <w:textAlignment w:val="auto"/>
        <w:outlineLvl w:val="1"/>
        <w:rPr>
          <w:rFonts w:hint="eastAsia" w:ascii="仿宋_GB2312" w:hAnsi="仿宋_GB2312" w:eastAsia="仿宋_GB2312"/>
          <w:sz w:val="32"/>
          <w:szCs w:val="24"/>
          <w:lang w:val="en-US" w:eastAsia="zh-CN"/>
        </w:rPr>
      </w:pPr>
      <w:r>
        <w:rPr>
          <w:rFonts w:hint="eastAsia" w:ascii="仿宋_GB2312" w:hAnsi="仿宋_GB2312" w:eastAsia="仿宋_GB2312"/>
          <w:sz w:val="32"/>
          <w:szCs w:val="24"/>
          <w:lang w:val="en-US"/>
        </w:rPr>
        <w:t>2021年度收入合计84,052.34万元，其中：财政拨款收入</w:t>
      </w:r>
      <w:r>
        <w:rPr>
          <w:rFonts w:hint="eastAsia" w:ascii="仿宋_GB2312" w:hAnsi="仿宋_GB2312" w:eastAsia="仿宋_GB2312"/>
          <w:sz w:val="32"/>
          <w:szCs w:val="24"/>
          <w:lang w:val="en-US" w:eastAsia="zh-CN"/>
        </w:rPr>
        <w:t>84060.02</w:t>
      </w:r>
      <w:r>
        <w:rPr>
          <w:rFonts w:hint="eastAsia" w:ascii="仿宋_GB2312" w:hAnsi="仿宋_GB2312" w:eastAsia="仿宋_GB2312"/>
          <w:sz w:val="32"/>
          <w:szCs w:val="24"/>
          <w:lang w:val="en-US"/>
        </w:rPr>
        <w:t>万元，占</w:t>
      </w:r>
      <w:r>
        <w:rPr>
          <w:rFonts w:hint="eastAsia" w:ascii="仿宋_GB2312" w:hAnsi="仿宋_GB2312" w:eastAsia="仿宋_GB2312"/>
          <w:sz w:val="32"/>
          <w:szCs w:val="24"/>
          <w:lang w:val="en-US" w:eastAsia="zh-CN"/>
        </w:rPr>
        <w:t>100.00</w:t>
      </w:r>
      <w:r>
        <w:rPr>
          <w:rFonts w:hint="eastAsia" w:ascii="仿宋_GB2312" w:hAnsi="仿宋_GB2312" w:eastAsia="仿宋_GB2312"/>
          <w:sz w:val="32"/>
          <w:szCs w:val="24"/>
          <w:lang w:val="en-US"/>
        </w:rPr>
        <w:t>%；上级补助收入</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万元，占</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%；事业收入</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万元，占</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%；经营收入</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万元，占</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%；附属单位上缴收入</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万元，占</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%；其他收入</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万元，占</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w:t>
      </w:r>
      <w:r>
        <w:rPr>
          <w:rFonts w:hint="eastAsia" w:ascii="仿宋_GB2312" w:hAnsi="仿宋_GB2312" w:eastAsia="仿宋_GB2312"/>
          <w:sz w:val="32"/>
          <w:szCs w:val="24"/>
          <w:lang w:val="en-US" w:eastAsia="zh-CN"/>
        </w:rPr>
        <w:t>。</w:t>
      </w:r>
    </w:p>
    <w:p>
      <w:pPr>
        <w:keepNext w:val="0"/>
        <w:keepLines w:val="0"/>
        <w:pageBreakBefore w:val="0"/>
        <w:widowControl/>
        <w:kinsoku/>
        <w:wordWrap/>
        <w:overflowPunct/>
        <w:topLinePunct w:val="0"/>
        <w:autoSpaceDE/>
        <w:autoSpaceDN/>
        <w:bidi w:val="0"/>
        <w:adjustRightInd/>
        <w:snapToGrid/>
        <w:spacing w:line="590" w:lineRule="exact"/>
        <w:ind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三、支出决算情况说明</w:t>
      </w:r>
    </w:p>
    <w:p>
      <w:pPr>
        <w:spacing w:beforeLines="0" w:afterLines="0" w:line="590" w:lineRule="exact"/>
        <w:ind w:firstLine="640"/>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sz w:val="32"/>
          <w:szCs w:val="24"/>
          <w:lang w:val="en-US"/>
        </w:rPr>
        <w:t>2021年度支出合计84,060.02万元，其中：基本支出3,036.08万元，占3.61%；项目支出81,023.94万元，占96.39%；上缴上级支出</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万元，占</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%；经营支出</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万元，占</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%；对附属单位补助支出</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万元，占</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w:t>
      </w:r>
    </w:p>
    <w:p>
      <w:pPr>
        <w:keepNext w:val="0"/>
        <w:keepLines w:val="0"/>
        <w:pageBreakBefore w:val="0"/>
        <w:widowControl/>
        <w:kinsoku/>
        <w:wordWrap/>
        <w:overflowPunct/>
        <w:topLinePunct w:val="0"/>
        <w:autoSpaceDE/>
        <w:autoSpaceDN/>
        <w:bidi w:val="0"/>
        <w:adjustRightInd/>
        <w:snapToGrid/>
        <w:spacing w:line="590" w:lineRule="exact"/>
        <w:ind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四、财政拨款收入支出决算总体情况说明</w:t>
      </w:r>
    </w:p>
    <w:p>
      <w:pPr>
        <w:spacing w:beforeLines="0" w:afterLines="0" w:line="590" w:lineRule="exact"/>
        <w:ind w:firstLine="640"/>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sz w:val="32"/>
          <w:szCs w:val="24"/>
          <w:lang w:val="en-US"/>
        </w:rPr>
        <w:t>2021年度财政拨款收、支总计均为84,060.02万元。与上年度相比，财政拨款收、支总计各增加41,188.05万元，增长96.07%。主要原因是</w:t>
      </w:r>
      <w:r>
        <w:rPr>
          <w:rFonts w:hint="eastAsia" w:ascii="仿宋_GB2312" w:hAnsi="仿宋_GB2312" w:eastAsia="仿宋_GB2312"/>
          <w:sz w:val="32"/>
          <w:szCs w:val="24"/>
          <w:lang w:val="en-US" w:eastAsia="zh-CN"/>
        </w:rPr>
        <w:t>人员经费和政府性基金相应增加</w:t>
      </w:r>
      <w:r>
        <w:rPr>
          <w:rFonts w:hint="eastAsia" w:ascii="仿宋_GB2312" w:hAnsi="仿宋_GB2312" w:eastAsia="仿宋_GB2312"/>
          <w:sz w:val="32"/>
          <w:szCs w:val="24"/>
          <w:lang w:val="en-US"/>
        </w:rPr>
        <w:t>。</w:t>
      </w:r>
    </w:p>
    <w:p>
      <w:pPr>
        <w:keepNext w:val="0"/>
        <w:keepLines w:val="0"/>
        <w:pageBreakBefore w:val="0"/>
        <w:widowControl/>
        <w:kinsoku/>
        <w:wordWrap/>
        <w:overflowPunct/>
        <w:topLinePunct w:val="0"/>
        <w:autoSpaceDE/>
        <w:autoSpaceDN/>
        <w:bidi w:val="0"/>
        <w:adjustRightInd/>
        <w:snapToGrid/>
        <w:spacing w:line="590" w:lineRule="exact"/>
        <w:ind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（一）总体情况。</w:t>
      </w:r>
    </w:p>
    <w:p>
      <w:pPr>
        <w:spacing w:beforeLines="0" w:afterLines="0"/>
        <w:ind w:firstLine="640" w:firstLineChars="20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sz w:val="32"/>
          <w:szCs w:val="24"/>
          <w:lang w:val="en-US"/>
        </w:rPr>
        <w:t>2021年度一般公共预算财政拨款支出44,903.07万元，占支出合计的53.42%。与上年度相比，一般公共预算财政拨款支出增加5,570.35万元，增长14.16%。主要原因是</w:t>
      </w:r>
      <w:r>
        <w:rPr>
          <w:rFonts w:hint="eastAsia" w:ascii="仿宋_GB2312" w:hAnsi="仿宋_GB2312" w:eastAsia="仿宋_GB2312" w:cs="仿宋_GB2312"/>
          <w:color w:val="auto"/>
          <w:sz w:val="32"/>
          <w:szCs w:val="32"/>
          <w:highlight w:val="none"/>
          <w:lang w:val="zh-CN" w:eastAsia="zh-CN"/>
        </w:rPr>
        <w:t>人员和经费项目相应增加</w:t>
      </w:r>
      <w:r>
        <w:rPr>
          <w:rFonts w:hint="eastAsia" w:ascii="仿宋_GB2312" w:hAnsi="仿宋_GB2312" w:eastAsia="仿宋_GB2312"/>
          <w:sz w:val="32"/>
          <w:szCs w:val="24"/>
          <w:lang w:val="en-US"/>
        </w:rPr>
        <w:t>。</w:t>
      </w:r>
    </w:p>
    <w:p>
      <w:pPr>
        <w:keepNext w:val="0"/>
        <w:keepLines w:val="0"/>
        <w:pageBreakBefore w:val="0"/>
        <w:widowControl/>
        <w:kinsoku/>
        <w:wordWrap/>
        <w:overflowPunct/>
        <w:topLinePunct w:val="0"/>
        <w:autoSpaceDE/>
        <w:autoSpaceDN/>
        <w:bidi w:val="0"/>
        <w:adjustRightInd/>
        <w:snapToGrid/>
        <w:spacing w:line="590" w:lineRule="exact"/>
        <w:ind w:right="0" w:rightChars="0" w:firstLine="321" w:firstLineChars="1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（二）结构情况。</w:t>
      </w:r>
    </w:p>
    <w:p>
      <w:pPr>
        <w:spacing w:beforeLines="0" w:afterLines="0"/>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zh-CN" w:eastAsia="zh-CN"/>
        </w:rPr>
        <w:t>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zh-CN" w:eastAsia="zh-CN"/>
        </w:rPr>
        <w:t>年度一般公共预算财政拨款支出</w:t>
      </w:r>
      <w:r>
        <w:rPr>
          <w:rFonts w:hint="eastAsia" w:ascii="仿宋_GB2312" w:hAnsi="仿宋_GB2312" w:eastAsia="仿宋_GB2312"/>
          <w:sz w:val="32"/>
          <w:szCs w:val="24"/>
          <w:lang w:val="en-US"/>
        </w:rPr>
        <w:t>44,903.07</w:t>
      </w:r>
      <w:r>
        <w:rPr>
          <w:rFonts w:hint="eastAsia" w:ascii="仿宋_GB2312" w:hAnsi="仿宋_GB2312" w:eastAsia="仿宋_GB2312" w:cs="仿宋_GB2312"/>
          <w:color w:val="auto"/>
          <w:sz w:val="32"/>
          <w:szCs w:val="32"/>
          <w:highlight w:val="none"/>
          <w:lang w:val="zh-CN" w:eastAsia="zh-CN"/>
        </w:rPr>
        <w:t>万元，主要用于以下方面：社会保障和就业（类）支出</w:t>
      </w:r>
      <w:r>
        <w:rPr>
          <w:rFonts w:hint="eastAsia" w:ascii="仿宋_GB2312" w:hAnsi="仿宋_GB2312" w:eastAsia="仿宋_GB2312" w:cs="仿宋_GB2312"/>
          <w:color w:val="auto"/>
          <w:sz w:val="32"/>
          <w:szCs w:val="32"/>
          <w:highlight w:val="none"/>
          <w:lang w:val="en-US" w:eastAsia="zh-CN"/>
        </w:rPr>
        <w:t>209.60</w:t>
      </w:r>
      <w:r>
        <w:rPr>
          <w:rFonts w:hint="eastAsia" w:ascii="仿宋_GB2312" w:hAnsi="仿宋_GB2312" w:eastAsia="仿宋_GB2312" w:cs="仿宋_GB2312"/>
          <w:color w:val="auto"/>
          <w:sz w:val="32"/>
          <w:szCs w:val="32"/>
          <w:highlight w:val="none"/>
          <w:lang w:val="zh-CN" w:eastAsia="zh-CN"/>
        </w:rPr>
        <w:t>万元，占</w:t>
      </w:r>
      <w:r>
        <w:rPr>
          <w:rFonts w:hint="eastAsia" w:ascii="仿宋_GB2312" w:hAnsi="仿宋_GB2312" w:eastAsia="仿宋_GB2312" w:cs="仿宋_GB2312"/>
          <w:color w:val="auto"/>
          <w:sz w:val="32"/>
          <w:szCs w:val="32"/>
          <w:highlight w:val="none"/>
          <w:lang w:val="en-US" w:eastAsia="zh-CN"/>
        </w:rPr>
        <w:t>0.47</w:t>
      </w:r>
      <w:r>
        <w:rPr>
          <w:rFonts w:hint="eastAsia" w:ascii="仿宋_GB2312" w:hAnsi="仿宋_GB2312" w:eastAsia="仿宋_GB2312" w:cs="仿宋_GB2312"/>
          <w:color w:val="auto"/>
          <w:sz w:val="32"/>
          <w:szCs w:val="32"/>
          <w:highlight w:val="none"/>
          <w:lang w:val="zh-CN" w:eastAsia="zh-CN"/>
        </w:rPr>
        <w:t>%；城乡社区（类）支出</w:t>
      </w:r>
      <w:r>
        <w:rPr>
          <w:rFonts w:hint="eastAsia" w:ascii="仿宋_GB2312" w:hAnsi="仿宋_GB2312" w:eastAsia="仿宋_GB2312" w:cs="仿宋_GB2312"/>
          <w:color w:val="auto"/>
          <w:sz w:val="32"/>
          <w:szCs w:val="32"/>
          <w:highlight w:val="none"/>
          <w:lang w:val="en-US" w:eastAsia="zh-CN"/>
        </w:rPr>
        <w:t>44129.00万元，占98.28%；自然资源海洋气象（类）支出325.97万元，占0.72%；住房保障（类）支出238.50万元，占0.53%</w:t>
      </w:r>
      <w:r>
        <w:rPr>
          <w:rFonts w:hint="eastAsia" w:ascii="仿宋_GB2312" w:hAnsi="仿宋_GB2312" w:eastAsia="仿宋_GB2312" w:cs="仿宋_GB2312"/>
          <w:color w:val="auto"/>
          <w:sz w:val="32"/>
          <w:szCs w:val="32"/>
          <w:highlight w:val="none"/>
          <w:lang w:val="zh-CN" w:eastAsia="zh-CN"/>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（三）具体情况。</w:t>
      </w:r>
    </w:p>
    <w:p>
      <w:pPr>
        <w:spacing w:beforeLines="0" w:afterLines="0" w:line="590" w:lineRule="exact"/>
        <w:ind w:firstLine="640"/>
      </w:pPr>
      <w:r>
        <w:rPr>
          <w:rFonts w:hint="eastAsia" w:ascii="仿宋_GB2312" w:hAnsi="仿宋_GB2312" w:eastAsia="仿宋_GB2312"/>
          <w:sz w:val="32"/>
          <w:szCs w:val="24"/>
          <w:lang w:val="en-US"/>
        </w:rPr>
        <w:t>2021年度一般公共预算财政拨款支出年初预算为3,766.3</w:t>
      </w:r>
      <w:r>
        <w:rPr>
          <w:rFonts w:hint="eastAsia" w:ascii="仿宋_GB2312" w:hAnsi="仿宋_GB2312" w:eastAsia="仿宋_GB2312"/>
          <w:sz w:val="32"/>
          <w:szCs w:val="24"/>
          <w:lang w:val="en-US" w:eastAsia="zh-CN"/>
        </w:rPr>
        <w:t>0</w:t>
      </w:r>
      <w:r>
        <w:rPr>
          <w:rFonts w:hint="eastAsia" w:ascii="仿宋_GB2312" w:hAnsi="仿宋_GB2312" w:eastAsia="仿宋_GB2312"/>
          <w:sz w:val="32"/>
          <w:szCs w:val="24"/>
          <w:lang w:val="en-US"/>
        </w:rPr>
        <w:t>万元，支出决算为44,903.07万元，完成年初预算的1,192.23%。其中：</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en-US" w:eastAsia="zh-CN"/>
        </w:rPr>
        <w:t>1．社会保障和就业支出（类）行政事业单位养老支出（款）行政单位离退休（项）。</w:t>
      </w:r>
      <w:r>
        <w:rPr>
          <w:rFonts w:hint="eastAsia" w:ascii="仿宋_GB2312" w:hAnsi="仿宋_GB2312" w:eastAsia="仿宋_GB2312" w:cs="仿宋_GB2312"/>
          <w:color w:val="auto"/>
          <w:sz w:val="32"/>
          <w:szCs w:val="32"/>
          <w:highlight w:val="none"/>
          <w:lang w:val="en-US" w:eastAsia="zh-CN"/>
        </w:rPr>
        <w:t>年初预算为42.70万元，支出决算为42.91万元，完成年初预算的100.49%。决算数与年初预算数存在差异的主要原因</w:t>
      </w:r>
      <w:r>
        <w:rPr>
          <w:rFonts w:hint="eastAsia" w:ascii="仿宋_GB2312" w:hAnsi="仿宋_GB2312" w:eastAsia="仿宋_GB2312" w:cs="仿宋_GB2312"/>
          <w:color w:val="auto"/>
          <w:sz w:val="32"/>
          <w:szCs w:val="32"/>
          <w:highlight w:val="none"/>
          <w:lang w:val="zh-CN" w:eastAsia="zh-CN"/>
        </w:rPr>
        <w:t>我部门今年行政退休人员增加。</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2．社会保障和就业支出（类）行政事业单位养老支出（款）事业单位离退休（项）。</w:t>
      </w:r>
      <w:r>
        <w:rPr>
          <w:rFonts w:hint="eastAsia" w:ascii="仿宋_GB2312" w:hAnsi="仿宋_GB2312" w:eastAsia="仿宋_GB2312" w:cs="仿宋_GB2312"/>
          <w:color w:val="auto"/>
          <w:sz w:val="32"/>
          <w:szCs w:val="32"/>
          <w:highlight w:val="none"/>
          <w:lang w:val="en-US" w:eastAsia="zh-CN"/>
        </w:rPr>
        <w:t>年初预算为59.25万元，支出决算为166.69万元，完成年初预算的281.33%。决算数与年初预算数存在差异的主要原因是我部门事业退休人员增加。</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3．城乡社区支出（类）城乡社区管理事务（款）行政运行（项）。</w:t>
      </w:r>
      <w:r>
        <w:rPr>
          <w:rFonts w:hint="eastAsia" w:ascii="仿宋_GB2312" w:hAnsi="仿宋_GB2312" w:eastAsia="仿宋_GB2312" w:cs="仿宋_GB2312"/>
          <w:color w:val="auto"/>
          <w:sz w:val="32"/>
          <w:szCs w:val="32"/>
          <w:highlight w:val="none"/>
          <w:lang w:val="en-US" w:eastAsia="zh-CN"/>
        </w:rPr>
        <w:t>年初预算为310.93万元，支出决算为367.96万元，完成年初预算的118.34%。决算数与年初预算数存在差异的主要原因是我部门今年人员工资标准提高，经费增加。</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4.城乡社区支出（类）城乡社区管理事务（款）工程建设标准规范编制与监管（项）。</w:t>
      </w:r>
      <w:r>
        <w:rPr>
          <w:rFonts w:hint="eastAsia" w:ascii="仿宋_GB2312" w:hAnsi="仿宋_GB2312" w:eastAsia="仿宋_GB2312" w:cs="仿宋_GB2312"/>
          <w:color w:val="auto"/>
          <w:sz w:val="32"/>
          <w:szCs w:val="32"/>
          <w:highlight w:val="none"/>
          <w:lang w:val="en-US" w:eastAsia="zh-CN"/>
        </w:rPr>
        <w:t>年初预算为198.61万元，支出决算为207.76万元，完成年初预算的104.61%。决算数与年初预算数存在差异的主要原因是我部门二级机构人员增加。</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5.城乡社区支出（类）城乡社区管理事务（款）工程建设管理（项）。</w:t>
      </w:r>
      <w:r>
        <w:rPr>
          <w:rFonts w:hint="eastAsia" w:ascii="仿宋_GB2312" w:hAnsi="仿宋_GB2312" w:eastAsia="仿宋_GB2312" w:cs="仿宋_GB2312"/>
          <w:color w:val="auto"/>
          <w:sz w:val="32"/>
          <w:szCs w:val="32"/>
          <w:highlight w:val="none"/>
          <w:lang w:val="en-US" w:eastAsia="zh-CN"/>
        </w:rPr>
        <w:t>年初预算为521.34万元，支出决算为573.38万元，完成年初预算的109.98%。决算数与年初预算数存在差异的主要原因是我部门今年人员工资标准提高。</w:t>
      </w:r>
    </w:p>
    <w:p>
      <w:pPr>
        <w:keepNext w:val="0"/>
        <w:keepLines w:val="0"/>
        <w:pageBreakBefore w:val="0"/>
        <w:widowControl/>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6.城乡社区支出（类）城乡社区管理事务（款）市政公用行业市场监管（项）。</w:t>
      </w:r>
      <w:r>
        <w:rPr>
          <w:rFonts w:hint="eastAsia" w:ascii="仿宋_GB2312" w:hAnsi="仿宋_GB2312" w:eastAsia="仿宋_GB2312" w:cs="仿宋_GB2312"/>
          <w:color w:val="auto"/>
          <w:sz w:val="32"/>
          <w:szCs w:val="32"/>
          <w:highlight w:val="none"/>
          <w:lang w:val="en-US" w:eastAsia="zh-CN"/>
        </w:rPr>
        <w:t>年初预算为159.41万元，支出决算为161.30万元，完成年初预算的101.19%。决算数与年初预算数存在差异的主要原因是我部门二级机构人员增加。</w:t>
      </w:r>
    </w:p>
    <w:p>
      <w:pPr>
        <w:spacing w:beforeLines="0" w:afterLines="0"/>
        <w:ind w:firstLine="643" w:firstLineChars="20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en-US" w:eastAsia="zh-CN"/>
        </w:rPr>
        <w:t>7.城乡社区支出（类）城乡社区管理事务（款）其他城乡社区管理事务支出（项）。</w:t>
      </w:r>
      <w:r>
        <w:rPr>
          <w:rFonts w:hint="eastAsia" w:ascii="仿宋_GB2312" w:hAnsi="仿宋_GB2312" w:eastAsia="仿宋_GB2312" w:cs="仿宋_GB2312"/>
          <w:color w:val="auto"/>
          <w:sz w:val="32"/>
          <w:szCs w:val="32"/>
          <w:highlight w:val="none"/>
          <w:lang w:val="en-US" w:eastAsia="zh-CN"/>
        </w:rPr>
        <w:t>年初预算为1289.05万元，支出决算为1190.11万元，完成年初预算的92.32%。决算数与年初预算数存在差异的</w:t>
      </w:r>
      <w:r>
        <w:rPr>
          <w:rFonts w:hint="eastAsia" w:ascii="仿宋_GB2312" w:hAnsi="仿宋_GB2312" w:eastAsia="仿宋_GB2312" w:cs="仿宋_GB2312"/>
          <w:color w:val="auto"/>
          <w:sz w:val="32"/>
          <w:szCs w:val="32"/>
          <w:highlight w:val="none"/>
          <w:lang w:val="zh-CN" w:eastAsia="zh-CN"/>
        </w:rPr>
        <w:t>主要原因是我部门二级机构人员和经费项目相应</w:t>
      </w:r>
      <w:r>
        <w:rPr>
          <w:rFonts w:hint="eastAsia" w:ascii="仿宋_GB2312" w:hAnsi="仿宋_GB2312" w:eastAsia="仿宋_GB2312" w:cs="仿宋_GB2312"/>
          <w:color w:val="auto"/>
          <w:sz w:val="32"/>
          <w:szCs w:val="32"/>
          <w:highlight w:val="none"/>
          <w:lang w:val="en-US" w:eastAsia="zh-CN"/>
        </w:rPr>
        <w:t>减少</w:t>
      </w:r>
      <w:r>
        <w:rPr>
          <w:rFonts w:hint="eastAsia" w:ascii="仿宋_GB2312" w:hAnsi="仿宋_GB2312" w:eastAsia="仿宋_GB2312" w:cs="仿宋_GB2312"/>
          <w:color w:val="auto"/>
          <w:sz w:val="32"/>
          <w:szCs w:val="32"/>
          <w:highlight w:val="none"/>
          <w:lang w:val="zh-CN" w:eastAsia="zh-CN"/>
        </w:rPr>
        <w:t>。</w:t>
      </w:r>
    </w:p>
    <w:p>
      <w:pPr>
        <w:spacing w:beforeLines="0" w:afterLines="0"/>
        <w:ind w:firstLine="643" w:firstLineChars="20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en-US" w:eastAsia="zh-CN"/>
        </w:rPr>
        <w:t>8.城乡社区支出（类）城乡社区公共设施（款）其他城乡社区公共设施支出（项）。</w:t>
      </w:r>
      <w:r>
        <w:rPr>
          <w:rFonts w:hint="eastAsia" w:ascii="仿宋_GB2312" w:hAnsi="仿宋_GB2312" w:eastAsia="仿宋_GB2312" w:cs="仿宋_GB2312"/>
          <w:color w:val="auto"/>
          <w:sz w:val="32"/>
          <w:szCs w:val="32"/>
          <w:highlight w:val="none"/>
          <w:lang w:val="en-US" w:eastAsia="zh-CN"/>
        </w:rPr>
        <w:t>年初预算为164.56万元，支出决算为41628.49万元，完成年初预算的83256.98%。决算数与年初预算数存在差异的</w:t>
      </w:r>
      <w:r>
        <w:rPr>
          <w:rFonts w:hint="eastAsia" w:ascii="仿宋_GB2312" w:hAnsi="仿宋_GB2312" w:eastAsia="仿宋_GB2312" w:cs="仿宋_GB2312"/>
          <w:color w:val="auto"/>
          <w:sz w:val="32"/>
          <w:szCs w:val="32"/>
          <w:highlight w:val="none"/>
          <w:lang w:val="zh-CN" w:eastAsia="zh-CN"/>
        </w:rPr>
        <w:t>主要原因是该项目资金新增当年临时性支出。</w:t>
      </w:r>
    </w:p>
    <w:p>
      <w:pPr>
        <w:spacing w:beforeLines="0" w:afterLines="0"/>
        <w:ind w:firstLine="643" w:firstLineChars="20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en-US" w:eastAsia="zh-CN"/>
        </w:rPr>
        <w:t>9.自然资源海洋气象（类）自然资源事务（款） 事业运行（项）。</w:t>
      </w:r>
      <w:r>
        <w:rPr>
          <w:rFonts w:hint="eastAsia" w:ascii="仿宋_GB2312" w:hAnsi="仿宋_GB2312" w:eastAsia="仿宋_GB2312" w:cs="仿宋_GB2312"/>
          <w:color w:val="auto"/>
          <w:sz w:val="32"/>
          <w:szCs w:val="32"/>
          <w:highlight w:val="none"/>
          <w:lang w:val="en-US" w:eastAsia="zh-CN"/>
        </w:rPr>
        <w:t>年初预算为0.00万元，支出决算为325.97万元。决算数与年初预算数存在差异的</w:t>
      </w:r>
      <w:r>
        <w:rPr>
          <w:rFonts w:hint="eastAsia" w:ascii="仿宋_GB2312" w:hAnsi="仿宋_GB2312" w:eastAsia="仿宋_GB2312" w:cs="仿宋_GB2312"/>
          <w:color w:val="auto"/>
          <w:sz w:val="32"/>
          <w:szCs w:val="32"/>
          <w:highlight w:val="none"/>
          <w:lang w:val="zh-CN" w:eastAsia="zh-CN"/>
        </w:rPr>
        <w:t>主要原因是房管局年中因机构改革划归至住建局二级机构。</w:t>
      </w:r>
    </w:p>
    <w:p>
      <w:pPr>
        <w:spacing w:beforeLines="0" w:afterLines="0"/>
        <w:ind w:firstLine="643" w:firstLineChars="20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en-US" w:eastAsia="zh-CN"/>
        </w:rPr>
        <w:t>10.住房保障支出（类）保障性安居工程支出（款）农村危房改造（项）。</w:t>
      </w:r>
      <w:r>
        <w:rPr>
          <w:rFonts w:hint="eastAsia" w:ascii="仿宋_GB2312" w:hAnsi="仿宋_GB2312" w:eastAsia="仿宋_GB2312" w:cs="仿宋_GB2312"/>
          <w:color w:val="auto"/>
          <w:sz w:val="32"/>
          <w:szCs w:val="32"/>
          <w:highlight w:val="none"/>
          <w:lang w:val="en-US" w:eastAsia="zh-CN"/>
        </w:rPr>
        <w:t>年初预算为2.20万元，支出决算为8.50万元，完成年初预算的386.36%。决算数与年初预算数存在差异的</w:t>
      </w:r>
      <w:r>
        <w:rPr>
          <w:rFonts w:hint="eastAsia" w:ascii="仿宋_GB2312" w:hAnsi="仿宋_GB2312" w:eastAsia="仿宋_GB2312" w:cs="仿宋_GB2312"/>
          <w:color w:val="auto"/>
          <w:sz w:val="32"/>
          <w:szCs w:val="32"/>
          <w:highlight w:val="none"/>
          <w:lang w:val="zh-CN" w:eastAsia="zh-CN"/>
        </w:rPr>
        <w:t>主要原因是我部门今年农村危房改造项目支出</w:t>
      </w:r>
      <w:r>
        <w:rPr>
          <w:rFonts w:hint="eastAsia" w:ascii="仿宋_GB2312" w:hAnsi="仿宋_GB2312" w:eastAsia="仿宋_GB2312" w:cs="仿宋_GB2312"/>
          <w:color w:val="auto"/>
          <w:sz w:val="32"/>
          <w:szCs w:val="32"/>
          <w:highlight w:val="none"/>
          <w:lang w:val="en-US" w:eastAsia="zh-CN"/>
        </w:rPr>
        <w:t>增加</w:t>
      </w:r>
      <w:r>
        <w:rPr>
          <w:rFonts w:hint="eastAsia" w:ascii="仿宋_GB2312" w:hAnsi="仿宋_GB2312" w:eastAsia="仿宋_GB2312" w:cs="仿宋_GB2312"/>
          <w:color w:val="auto"/>
          <w:sz w:val="32"/>
          <w:szCs w:val="32"/>
          <w:highlight w:val="none"/>
          <w:lang w:val="zh-CN"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left="-210" w:leftChars="-100" w:firstLine="643" w:firstLineChars="200"/>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en-US" w:eastAsia="zh-CN"/>
        </w:rPr>
        <w:t>11.住房保障支出（类）保障性安居工程支出（款）老旧小区改造（项）。</w:t>
      </w:r>
      <w:r>
        <w:rPr>
          <w:rFonts w:hint="eastAsia" w:ascii="仿宋_GB2312" w:hAnsi="仿宋_GB2312" w:eastAsia="仿宋_GB2312" w:cs="仿宋_GB2312"/>
          <w:color w:val="auto"/>
          <w:sz w:val="32"/>
          <w:szCs w:val="32"/>
          <w:highlight w:val="none"/>
          <w:lang w:val="en-US" w:eastAsia="zh-CN"/>
        </w:rPr>
        <w:t>年初预算为490.00万元，支出决算为230.00万元，完成年初预算的46.94%。</w:t>
      </w:r>
      <w:r>
        <w:rPr>
          <w:rFonts w:hint="eastAsia" w:ascii="仿宋_GB2312" w:hAnsi="仿宋_GB2312" w:eastAsia="仿宋_GB2312" w:cs="仿宋_GB2312"/>
          <w:color w:val="000000"/>
          <w:sz w:val="32"/>
          <w:szCs w:val="32"/>
        </w:rPr>
        <w:t>决算数与年初预算数存在差异的原因是</w:t>
      </w:r>
      <w:r>
        <w:rPr>
          <w:rFonts w:hint="eastAsia" w:ascii="仿宋_GB2312" w:hAnsi="仿宋_GB2312" w:eastAsia="仿宋_GB2312" w:cs="仿宋_GB2312"/>
          <w:color w:val="auto"/>
          <w:sz w:val="32"/>
          <w:szCs w:val="32"/>
          <w:highlight w:val="none"/>
          <w:lang w:val="zh-CN" w:eastAsia="zh-CN"/>
        </w:rPr>
        <w:t>我部门今年</w:t>
      </w:r>
      <w:r>
        <w:rPr>
          <w:rFonts w:hint="eastAsia" w:ascii="仿宋_GB2312" w:hAnsi="仿宋_GB2312" w:eastAsia="仿宋_GB2312" w:cs="仿宋_GB2312"/>
          <w:color w:val="auto"/>
          <w:sz w:val="32"/>
          <w:szCs w:val="32"/>
          <w:highlight w:val="none"/>
          <w:lang w:val="en-US" w:eastAsia="zh-CN"/>
        </w:rPr>
        <w:t>老旧小区</w:t>
      </w:r>
      <w:r>
        <w:rPr>
          <w:rFonts w:hint="eastAsia" w:ascii="仿宋_GB2312" w:hAnsi="仿宋_GB2312" w:eastAsia="仿宋_GB2312" w:cs="仿宋_GB2312"/>
          <w:color w:val="auto"/>
          <w:sz w:val="32"/>
          <w:szCs w:val="32"/>
          <w:highlight w:val="none"/>
          <w:lang w:val="zh-CN" w:eastAsia="zh-CN"/>
        </w:rPr>
        <w:t>改造项目支出</w:t>
      </w:r>
      <w:r>
        <w:rPr>
          <w:rFonts w:hint="eastAsia" w:ascii="仿宋_GB2312" w:hAnsi="仿宋_GB2312" w:eastAsia="仿宋_GB2312" w:cs="仿宋_GB2312"/>
          <w:color w:val="auto"/>
          <w:sz w:val="32"/>
          <w:szCs w:val="32"/>
          <w:highlight w:val="none"/>
          <w:lang w:val="en-US" w:eastAsia="zh-CN"/>
        </w:rPr>
        <w:t>减少</w:t>
      </w:r>
      <w:r>
        <w:rPr>
          <w:rFonts w:hint="eastAsia" w:ascii="仿宋_GB2312" w:hAnsi="仿宋_GB2312" w:eastAsia="仿宋_GB2312" w:cs="仿宋_GB2312"/>
          <w:color w:val="000000"/>
          <w:sz w:val="32"/>
          <w:szCs w:val="32"/>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仿宋_GB2312" w:hAnsi="仿宋_GB2312" w:eastAsia="仿宋_GB2312"/>
          <w:sz w:val="32"/>
          <w:szCs w:val="24"/>
          <w:lang w:val="en-US"/>
        </w:rPr>
      </w:pPr>
      <w:r>
        <w:rPr>
          <w:rFonts w:hint="eastAsia" w:ascii="仿宋_GB2312" w:hAnsi="仿宋_GB2312" w:eastAsia="仿宋_GB2312"/>
          <w:sz w:val="32"/>
          <w:szCs w:val="24"/>
          <w:lang w:val="en-US"/>
        </w:rPr>
        <w:t>2021年度一般公共预算财政拨款基本支出3,036.08万元。其中：人员经费2,873.58万元，主要包括：基本工资、津贴补贴、绩效工资、机关事业单位基本养老保险缴费、职业年金缴费、其他社会保障缴费、其他工资福利支出、退休费、生活补助；公用经费162.5</w:t>
      </w:r>
      <w:r>
        <w:rPr>
          <w:rFonts w:hint="eastAsia" w:ascii="仿宋_GB2312" w:hAnsi="仿宋_GB2312" w:eastAsia="仿宋_GB2312"/>
          <w:sz w:val="32"/>
          <w:szCs w:val="24"/>
          <w:lang w:val="en-US" w:eastAsia="zh-CN"/>
        </w:rPr>
        <w:t>0</w:t>
      </w:r>
      <w:r>
        <w:rPr>
          <w:rFonts w:hint="eastAsia" w:ascii="仿宋_GB2312" w:hAnsi="仿宋_GB2312" w:eastAsia="仿宋_GB2312"/>
          <w:sz w:val="32"/>
          <w:szCs w:val="24"/>
          <w:lang w:val="en-US"/>
        </w:rPr>
        <w:t>万元，主要包括：办公费、印刷费、咨询费、邮电费、差旅费、维修（护）费、会议费、劳务费、委托业务费、福利费、其他交通费用。</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七、一般公共预算财政拨款“三公”经费支出决算情况说明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（一）“三公”经费财政拨款支出决算总体情况说明。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sz w:val="32"/>
          <w:szCs w:val="24"/>
          <w:lang w:val="en-US"/>
        </w:rPr>
        <w:t>2021年度</w:t>
      </w:r>
      <w:r>
        <w:rPr>
          <w:rFonts w:hint="default" w:ascii="Times New Roman" w:hAnsi="Times New Roman" w:eastAsia="Times New Roman"/>
          <w:sz w:val="32"/>
          <w:szCs w:val="24"/>
          <w:lang w:val="en-US"/>
        </w:rPr>
        <w:t>“</w:t>
      </w:r>
      <w:r>
        <w:rPr>
          <w:rFonts w:hint="eastAsia" w:ascii="仿宋_GB2312" w:hAnsi="仿宋_GB2312" w:eastAsia="仿宋_GB2312"/>
          <w:sz w:val="32"/>
          <w:szCs w:val="24"/>
          <w:lang w:val="en-US"/>
        </w:rPr>
        <w:t>三公</w:t>
      </w:r>
      <w:r>
        <w:rPr>
          <w:rFonts w:hint="default" w:ascii="Times New Roman" w:hAnsi="Times New Roman" w:eastAsia="Times New Roman"/>
          <w:sz w:val="32"/>
          <w:szCs w:val="24"/>
          <w:lang w:val="en-US"/>
        </w:rPr>
        <w:t>”</w:t>
      </w:r>
      <w:r>
        <w:rPr>
          <w:rFonts w:hint="eastAsia" w:ascii="仿宋_GB2312" w:hAnsi="仿宋_GB2312" w:eastAsia="仿宋_GB2312"/>
          <w:sz w:val="32"/>
          <w:szCs w:val="24"/>
          <w:lang w:val="en-US"/>
        </w:rPr>
        <w:t>经费财政拨款支出预算为0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万元，支出决算为0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万元，完成预算的0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w:t>
      </w:r>
      <w:r>
        <w:rPr>
          <w:rFonts w:hint="eastAsia" w:ascii="仿宋_GB2312" w:hAnsi="仿宋_GB2312" w:eastAsia="仿宋_GB2312"/>
          <w:sz w:val="32"/>
          <w:szCs w:val="24"/>
          <w:lang w:val="en-US" w:eastAsia="zh-CN"/>
        </w:rPr>
        <w:t>。</w:t>
      </w:r>
      <w:r>
        <w:rPr>
          <w:rFonts w:hint="eastAsia" w:ascii="仿宋_GB2312" w:hAnsi="仿宋_GB2312" w:eastAsia="仿宋_GB2312" w:cs="仿宋_GB2312"/>
          <w:color w:val="auto"/>
          <w:sz w:val="32"/>
          <w:szCs w:val="32"/>
          <w:highlight w:val="none"/>
          <w:lang w:val="zh-CN" w:eastAsia="zh-CN"/>
        </w:rPr>
        <w:t>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zh-CN" w:eastAsia="zh-CN"/>
        </w:rPr>
        <w:t>年度</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eastAsia="zh-CN"/>
        </w:rPr>
        <w:t>三公</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eastAsia="zh-CN"/>
        </w:rPr>
        <w:t>经费支出决算数与预算数存在差异的主要原因是响应国家号召，严格把控三公经费支出。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（二）“三公”经费财政拨款支出决算具体情况说明。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sz w:val="32"/>
          <w:szCs w:val="24"/>
          <w:lang w:val="en-US"/>
        </w:rPr>
        <w:t>2021年度</w:t>
      </w:r>
      <w:r>
        <w:rPr>
          <w:rFonts w:hint="default" w:ascii="Times New Roman" w:hAnsi="Times New Roman" w:eastAsia="Times New Roman"/>
          <w:sz w:val="32"/>
          <w:szCs w:val="24"/>
          <w:lang w:val="en-US"/>
        </w:rPr>
        <w:t>“</w:t>
      </w:r>
      <w:r>
        <w:rPr>
          <w:rFonts w:hint="eastAsia" w:ascii="仿宋_GB2312" w:hAnsi="仿宋_GB2312" w:eastAsia="仿宋_GB2312"/>
          <w:sz w:val="32"/>
          <w:szCs w:val="24"/>
          <w:lang w:val="en-US"/>
        </w:rPr>
        <w:t>三公</w:t>
      </w:r>
      <w:r>
        <w:rPr>
          <w:rFonts w:hint="default" w:ascii="Times New Roman" w:hAnsi="Times New Roman" w:eastAsia="Times New Roman"/>
          <w:sz w:val="32"/>
          <w:szCs w:val="24"/>
          <w:lang w:val="en-US"/>
        </w:rPr>
        <w:t>”</w:t>
      </w:r>
      <w:r>
        <w:rPr>
          <w:rFonts w:hint="eastAsia" w:ascii="仿宋_GB2312" w:hAnsi="仿宋_GB2312" w:eastAsia="仿宋_GB2312"/>
          <w:sz w:val="32"/>
          <w:szCs w:val="24"/>
          <w:lang w:val="en-US"/>
        </w:rPr>
        <w:t>经费财政拨款支出决算中，因公出国（境）费支出决算0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万元，完成预算的0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%，占0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%；公务用车购置及运行费支出决算0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万元，完成预算的0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%，占0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%；公务接待费支出决算0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万元，完成预算的0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%，占0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%；具体情况如下</w:t>
      </w:r>
      <w:r>
        <w:rPr>
          <w:rFonts w:hint="eastAsia" w:ascii="仿宋_GB2312" w:hAnsi="仿宋_GB2312" w:eastAsia="仿宋_GB2312" w:cs="仿宋_GB2312"/>
          <w:color w:val="auto"/>
          <w:sz w:val="32"/>
          <w:szCs w:val="32"/>
          <w:highlight w:val="none"/>
          <w:lang w:val="zh-CN" w:eastAsia="zh-CN"/>
        </w:rPr>
        <w:t>：</w:t>
      </w:r>
    </w:p>
    <w:p>
      <w:pPr>
        <w:spacing w:beforeLines="0" w:afterLines="0" w:line="590" w:lineRule="exact"/>
        <w:ind w:firstLine="640"/>
        <w:rPr>
          <w:rFonts w:hint="default" w:ascii="Times New Roman" w:hAnsi="Times New Roman" w:eastAsia="Times New Roman"/>
          <w:sz w:val="32"/>
          <w:szCs w:val="24"/>
          <w:lang w:val="en-US"/>
        </w:rPr>
      </w:pPr>
      <w:r>
        <w:rPr>
          <w:rFonts w:hint="eastAsia" w:ascii="仿宋_GB2312" w:hAnsi="仿宋_GB2312" w:eastAsia="仿宋_GB2312"/>
          <w:b/>
          <w:sz w:val="32"/>
          <w:szCs w:val="24"/>
          <w:lang w:val="en-US"/>
        </w:rPr>
        <w:t>1．因公出国（境）费</w:t>
      </w:r>
      <w:r>
        <w:rPr>
          <w:rFonts w:hint="eastAsia" w:ascii="仿宋_GB2312" w:hAnsi="仿宋_GB2312" w:eastAsia="仿宋_GB2312"/>
          <w:sz w:val="32"/>
          <w:szCs w:val="24"/>
          <w:lang w:val="en-US"/>
        </w:rPr>
        <w:t>年初预算为0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万元，支出决算为0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万元，完成年初预算的0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%，决算数与年初预算数</w:t>
      </w:r>
      <w:r>
        <w:rPr>
          <w:rFonts w:hint="eastAsia" w:ascii="仿宋_GB2312" w:hAnsi="仿宋_GB2312" w:eastAsia="仿宋_GB2312"/>
          <w:sz w:val="32"/>
          <w:szCs w:val="24"/>
          <w:lang w:val="en-US" w:eastAsia="zh-CN"/>
        </w:rPr>
        <w:t>不</w:t>
      </w:r>
      <w:r>
        <w:rPr>
          <w:rFonts w:hint="eastAsia" w:ascii="仿宋_GB2312" w:hAnsi="仿宋_GB2312" w:eastAsia="仿宋_GB2312"/>
          <w:sz w:val="32"/>
          <w:szCs w:val="24"/>
          <w:lang w:val="en-US"/>
        </w:rPr>
        <w:t>存在差异。</w:t>
      </w:r>
    </w:p>
    <w:p>
      <w:pPr>
        <w:spacing w:beforeLines="0" w:afterLines="0" w:line="590" w:lineRule="exact"/>
        <w:ind w:firstLine="640"/>
        <w:rPr>
          <w:rFonts w:hint="default" w:ascii="Times New Roman" w:hAnsi="Times New Roman" w:eastAsia="Times New Roman"/>
          <w:kern w:val="0"/>
          <w:sz w:val="18"/>
          <w:szCs w:val="24"/>
          <w:lang w:val="zh-CN"/>
        </w:rPr>
      </w:pPr>
      <w:r>
        <w:rPr>
          <w:rFonts w:hint="eastAsia" w:ascii="仿宋_GB2312" w:hAnsi="仿宋_GB2312" w:eastAsia="仿宋_GB2312"/>
          <w:sz w:val="32"/>
          <w:szCs w:val="24"/>
          <w:lang w:val="en-US"/>
        </w:rPr>
        <w:t>因公出国（境）团组数0个，因公出国（境）人次数0人。</w:t>
      </w:r>
    </w:p>
    <w:p>
      <w:pPr>
        <w:spacing w:beforeLines="0" w:afterLines="0" w:line="590" w:lineRule="exact"/>
        <w:ind w:firstLine="640"/>
        <w:rPr>
          <w:rFonts w:hint="default" w:ascii="Times New Roman" w:hAnsi="Times New Roman" w:eastAsia="Times New Roman"/>
          <w:sz w:val="32"/>
          <w:szCs w:val="24"/>
          <w:lang w:val="en-US"/>
        </w:rPr>
      </w:pPr>
      <w:r>
        <w:rPr>
          <w:rFonts w:hint="eastAsia" w:ascii="仿宋_GB2312" w:hAnsi="仿宋_GB2312" w:eastAsia="仿宋_GB2312"/>
          <w:b/>
          <w:sz w:val="32"/>
          <w:szCs w:val="24"/>
          <w:lang w:val="en-US"/>
        </w:rPr>
        <w:t>2．公务用车购置及运行费</w:t>
      </w:r>
      <w:r>
        <w:rPr>
          <w:rFonts w:hint="eastAsia" w:ascii="仿宋_GB2312" w:hAnsi="仿宋_GB2312" w:eastAsia="仿宋_GB2312"/>
          <w:sz w:val="32"/>
          <w:szCs w:val="24"/>
          <w:lang w:val="en-US"/>
        </w:rPr>
        <w:t>年初预算为0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万元，支出决算为0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万元，完成年初预算的0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%，决算数与年初预算数</w:t>
      </w:r>
      <w:r>
        <w:rPr>
          <w:rFonts w:hint="eastAsia" w:ascii="仿宋_GB2312" w:hAnsi="仿宋_GB2312" w:eastAsia="仿宋_GB2312"/>
          <w:sz w:val="32"/>
          <w:szCs w:val="24"/>
          <w:lang w:val="en-US" w:eastAsia="zh-CN"/>
        </w:rPr>
        <w:t>不</w:t>
      </w:r>
      <w:r>
        <w:rPr>
          <w:rFonts w:hint="eastAsia" w:ascii="仿宋_GB2312" w:hAnsi="仿宋_GB2312" w:eastAsia="仿宋_GB2312"/>
          <w:sz w:val="32"/>
          <w:szCs w:val="24"/>
          <w:lang w:val="en-US"/>
        </w:rPr>
        <w:t>存在差异。其中：</w:t>
      </w:r>
    </w:p>
    <w:p>
      <w:pPr>
        <w:spacing w:beforeLines="0" w:afterLines="0" w:line="590" w:lineRule="exact"/>
        <w:ind w:firstLine="640"/>
        <w:rPr>
          <w:rFonts w:hint="default" w:ascii="Times New Roman" w:hAnsi="Times New Roman" w:eastAsia="Times New Roman"/>
          <w:sz w:val="32"/>
          <w:szCs w:val="24"/>
          <w:lang w:val="en-US"/>
        </w:rPr>
      </w:pPr>
      <w:r>
        <w:rPr>
          <w:rFonts w:hint="eastAsia" w:ascii="仿宋_GB2312" w:hAnsi="仿宋_GB2312" w:eastAsia="仿宋_GB2312"/>
          <w:b/>
          <w:sz w:val="32"/>
          <w:szCs w:val="24"/>
          <w:lang w:val="en-US"/>
        </w:rPr>
        <w:t>公务用车购置支出</w:t>
      </w:r>
      <w:r>
        <w:rPr>
          <w:rFonts w:hint="eastAsia" w:ascii="仿宋_GB2312" w:hAnsi="仿宋_GB2312" w:eastAsia="仿宋_GB2312"/>
          <w:sz w:val="32"/>
          <w:szCs w:val="24"/>
          <w:lang w:val="en-US"/>
        </w:rPr>
        <w:t>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万元，购置车辆</w:t>
      </w:r>
      <w:r>
        <w:rPr>
          <w:rFonts w:hint="eastAsia" w:ascii="仿宋_GB2312" w:hAnsi="仿宋_GB2312" w:eastAsia="仿宋_GB2312"/>
          <w:sz w:val="32"/>
          <w:szCs w:val="24"/>
          <w:lang w:val="en-US" w:eastAsia="zh-CN"/>
        </w:rPr>
        <w:t>0</w:t>
      </w:r>
      <w:r>
        <w:rPr>
          <w:rFonts w:hint="eastAsia" w:ascii="仿宋_GB2312" w:hAnsi="仿宋_GB2312" w:eastAsia="仿宋_GB2312"/>
          <w:sz w:val="32"/>
          <w:szCs w:val="24"/>
          <w:lang w:val="en-US"/>
        </w:rPr>
        <w:t>台。</w:t>
      </w:r>
    </w:p>
    <w:p>
      <w:pPr>
        <w:spacing w:beforeLines="0" w:afterLines="0" w:line="590" w:lineRule="exact"/>
        <w:ind w:firstLine="640"/>
        <w:rPr>
          <w:rFonts w:hint="default" w:ascii="Times New Roman" w:hAnsi="Times New Roman" w:eastAsia="Times New Roman"/>
          <w:kern w:val="0"/>
          <w:sz w:val="18"/>
          <w:szCs w:val="24"/>
          <w:lang w:val="zh-CN"/>
        </w:rPr>
      </w:pPr>
      <w:r>
        <w:rPr>
          <w:rFonts w:hint="eastAsia" w:ascii="仿宋_GB2312" w:hAnsi="仿宋_GB2312" w:eastAsia="仿宋_GB2312"/>
          <w:b/>
          <w:sz w:val="32"/>
          <w:szCs w:val="24"/>
          <w:lang w:val="en-US"/>
        </w:rPr>
        <w:t>公务用车运行支出</w:t>
      </w:r>
      <w:r>
        <w:rPr>
          <w:rFonts w:hint="eastAsia" w:ascii="仿宋_GB2312" w:hAnsi="仿宋_GB2312" w:eastAsia="仿宋_GB2312"/>
          <w:sz w:val="32"/>
          <w:szCs w:val="24"/>
          <w:lang w:val="en-US"/>
        </w:rPr>
        <w:t>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万元。2021年期末，单位开支财政拨款的公务用车保有量为</w:t>
      </w:r>
      <w:r>
        <w:rPr>
          <w:rFonts w:hint="eastAsia" w:ascii="仿宋_GB2312" w:hAnsi="仿宋_GB2312" w:eastAsia="仿宋_GB2312"/>
          <w:sz w:val="32"/>
          <w:szCs w:val="24"/>
          <w:lang w:val="en-US" w:eastAsia="zh-CN"/>
        </w:rPr>
        <w:t>0</w:t>
      </w:r>
      <w:r>
        <w:rPr>
          <w:rFonts w:hint="eastAsia" w:ascii="仿宋_GB2312" w:hAnsi="仿宋_GB2312" w:eastAsia="仿宋_GB2312"/>
          <w:sz w:val="32"/>
          <w:szCs w:val="24"/>
          <w:lang w:val="en-US"/>
        </w:rPr>
        <w:t>量。</w:t>
      </w:r>
    </w:p>
    <w:p>
      <w:pPr>
        <w:spacing w:beforeLines="0" w:afterLines="0" w:line="590" w:lineRule="exact"/>
        <w:ind w:firstLine="640"/>
        <w:rPr>
          <w:rFonts w:hint="default" w:ascii="Times New Roman" w:hAnsi="Times New Roman" w:eastAsia="Times New Roman"/>
          <w:sz w:val="32"/>
          <w:szCs w:val="24"/>
          <w:lang w:val="en-US"/>
        </w:rPr>
      </w:pPr>
      <w:r>
        <w:rPr>
          <w:rFonts w:hint="eastAsia" w:ascii="仿宋_GB2312" w:hAnsi="仿宋_GB2312" w:eastAsia="仿宋_GB2312"/>
          <w:b/>
          <w:sz w:val="32"/>
          <w:szCs w:val="24"/>
          <w:lang w:val="en-US"/>
        </w:rPr>
        <w:t>3.公务接待费</w:t>
      </w:r>
      <w:r>
        <w:rPr>
          <w:rFonts w:hint="eastAsia" w:ascii="仿宋_GB2312" w:hAnsi="仿宋_GB2312" w:eastAsia="仿宋_GB2312"/>
          <w:sz w:val="32"/>
          <w:szCs w:val="24"/>
          <w:lang w:val="en-US"/>
        </w:rPr>
        <w:t>年初预算为0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万元，支出决算为0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万元，完成年初预算的0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%。决算数与年初预算数</w:t>
      </w:r>
      <w:r>
        <w:rPr>
          <w:rFonts w:hint="eastAsia" w:ascii="仿宋_GB2312" w:hAnsi="仿宋_GB2312" w:eastAsia="仿宋_GB2312"/>
          <w:sz w:val="32"/>
          <w:szCs w:val="24"/>
          <w:lang w:val="en-US" w:eastAsia="zh-CN"/>
        </w:rPr>
        <w:t>不</w:t>
      </w:r>
      <w:r>
        <w:rPr>
          <w:rFonts w:hint="eastAsia" w:ascii="仿宋_GB2312" w:hAnsi="仿宋_GB2312" w:eastAsia="仿宋_GB2312"/>
          <w:sz w:val="32"/>
          <w:szCs w:val="24"/>
          <w:lang w:val="en-US"/>
        </w:rPr>
        <w:t>存在差异。其中：</w:t>
      </w:r>
    </w:p>
    <w:p>
      <w:pPr>
        <w:spacing w:beforeLines="0" w:afterLines="0" w:line="590" w:lineRule="exact"/>
        <w:ind w:firstLine="640"/>
        <w:rPr>
          <w:rFonts w:hint="eastAsia" w:ascii="仿宋_GB2312" w:hAnsi="仿宋_GB2312" w:eastAsia="仿宋_GB2312"/>
          <w:sz w:val="32"/>
          <w:szCs w:val="24"/>
          <w:lang w:val="en-US"/>
        </w:rPr>
      </w:pPr>
      <w:r>
        <w:rPr>
          <w:rFonts w:hint="eastAsia" w:ascii="仿宋_GB2312" w:hAnsi="仿宋_GB2312" w:eastAsia="仿宋_GB2312"/>
          <w:b/>
          <w:sz w:val="32"/>
          <w:szCs w:val="24"/>
          <w:lang w:val="en-US"/>
        </w:rPr>
        <w:t>外宾接待支出</w:t>
      </w:r>
      <w:r>
        <w:rPr>
          <w:rFonts w:hint="eastAsia" w:ascii="仿宋_GB2312" w:hAnsi="仿宋_GB2312" w:eastAsia="仿宋_GB2312"/>
          <w:sz w:val="32"/>
          <w:szCs w:val="24"/>
          <w:lang w:val="en-US"/>
        </w:rPr>
        <w:t>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万元。2021年共接待国（境）外来访团组</w:t>
      </w:r>
      <w:r>
        <w:rPr>
          <w:rFonts w:hint="eastAsia" w:ascii="仿宋_GB2312" w:hAnsi="仿宋_GB2312" w:eastAsia="仿宋_GB2312"/>
          <w:sz w:val="32"/>
          <w:szCs w:val="24"/>
          <w:lang w:val="en-US" w:eastAsia="zh-CN"/>
        </w:rPr>
        <w:t>0</w:t>
      </w:r>
      <w:r>
        <w:rPr>
          <w:rFonts w:hint="eastAsia" w:ascii="仿宋_GB2312" w:hAnsi="仿宋_GB2312" w:eastAsia="仿宋_GB2312"/>
          <w:sz w:val="32"/>
          <w:szCs w:val="24"/>
          <w:lang w:val="en-US"/>
        </w:rPr>
        <w:t>个、来访外宾</w:t>
      </w:r>
      <w:r>
        <w:rPr>
          <w:rFonts w:hint="eastAsia" w:ascii="仿宋_GB2312" w:hAnsi="仿宋_GB2312" w:eastAsia="仿宋_GB2312"/>
          <w:sz w:val="32"/>
          <w:szCs w:val="24"/>
          <w:lang w:val="en-US" w:eastAsia="zh-CN"/>
        </w:rPr>
        <w:t>0</w:t>
      </w:r>
      <w:r>
        <w:rPr>
          <w:rFonts w:hint="eastAsia" w:ascii="仿宋_GB2312" w:hAnsi="仿宋_GB2312" w:eastAsia="仿宋_GB2312"/>
          <w:sz w:val="32"/>
          <w:szCs w:val="24"/>
          <w:lang w:val="en-US"/>
        </w:rPr>
        <w:t>人次（不包括陪同人员）。</w:t>
      </w:r>
    </w:p>
    <w:p>
      <w:pPr>
        <w:spacing w:beforeLines="0" w:afterLines="0" w:line="59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b/>
          <w:sz w:val="32"/>
          <w:szCs w:val="24"/>
          <w:lang w:val="en-US"/>
        </w:rPr>
        <w:t>其他国内公务接待支出</w:t>
      </w:r>
      <w:r>
        <w:rPr>
          <w:rFonts w:hint="eastAsia" w:ascii="仿宋_GB2312" w:hAnsi="仿宋_GB2312" w:eastAsia="仿宋_GB2312"/>
          <w:sz w:val="32"/>
          <w:szCs w:val="24"/>
          <w:lang w:val="en-US"/>
        </w:rPr>
        <w:t>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万元。2021年共接待国内来访团组</w:t>
      </w:r>
      <w:r>
        <w:rPr>
          <w:rFonts w:hint="eastAsia" w:ascii="仿宋_GB2312" w:hAnsi="仿宋_GB2312" w:eastAsia="仿宋_GB2312"/>
          <w:sz w:val="32"/>
          <w:szCs w:val="24"/>
          <w:lang w:val="en-US" w:eastAsia="zh-CN"/>
        </w:rPr>
        <w:t>0</w:t>
      </w:r>
      <w:r>
        <w:rPr>
          <w:rFonts w:hint="eastAsia" w:ascii="仿宋_GB2312" w:hAnsi="仿宋_GB2312" w:eastAsia="仿宋_GB2312"/>
          <w:sz w:val="32"/>
          <w:szCs w:val="24"/>
          <w:lang w:val="en-US"/>
        </w:rPr>
        <w:t>个、来宾</w:t>
      </w:r>
      <w:r>
        <w:rPr>
          <w:rFonts w:hint="eastAsia" w:ascii="仿宋_GB2312" w:hAnsi="仿宋_GB2312" w:eastAsia="仿宋_GB2312"/>
          <w:sz w:val="32"/>
          <w:szCs w:val="24"/>
          <w:lang w:val="en-US" w:eastAsia="zh-CN"/>
        </w:rPr>
        <w:t>0</w:t>
      </w:r>
      <w:r>
        <w:rPr>
          <w:rFonts w:hint="eastAsia" w:ascii="仿宋_GB2312" w:hAnsi="仿宋_GB2312" w:eastAsia="仿宋_GB2312"/>
          <w:sz w:val="32"/>
          <w:szCs w:val="24"/>
          <w:lang w:val="en-US"/>
        </w:rPr>
        <w:t>人次（不包括陪同人员）。</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八、政府性基金预算财政拨款支出决算情况说明</w:t>
      </w:r>
    </w:p>
    <w:p>
      <w:pPr>
        <w:spacing w:beforeLines="0" w:afterLines="0" w:line="590" w:lineRule="exact"/>
        <w:ind w:firstLine="640"/>
        <w:rPr>
          <w:rFonts w:hint="default" w:ascii="Times New Roman" w:hAnsi="Times New Roman" w:eastAsia="Times New Roman"/>
          <w:kern w:val="0"/>
          <w:sz w:val="18"/>
          <w:szCs w:val="24"/>
          <w:lang w:val="zh-CN"/>
        </w:rPr>
      </w:pPr>
      <w:r>
        <w:rPr>
          <w:rFonts w:hint="eastAsia" w:ascii="仿宋_GB2312" w:hAnsi="仿宋_GB2312" w:eastAsia="仿宋_GB2312"/>
          <w:sz w:val="32"/>
          <w:szCs w:val="24"/>
          <w:lang w:val="en-US"/>
        </w:rPr>
        <w:t>2021年度政府性基金预算财政拨款支出年初预算为</w:t>
      </w:r>
      <w:r>
        <w:rPr>
          <w:rFonts w:hint="eastAsia" w:ascii="仿宋_GB2312" w:hAnsi="仿宋_GB2312" w:eastAsia="仿宋_GB2312"/>
          <w:sz w:val="32"/>
          <w:szCs w:val="24"/>
          <w:lang w:val="en-US" w:eastAsia="zh-CN"/>
        </w:rPr>
        <w:t>0.00</w:t>
      </w:r>
      <w:r>
        <w:rPr>
          <w:rFonts w:hint="eastAsia" w:ascii="仿宋_GB2312" w:hAnsi="仿宋_GB2312" w:eastAsia="仿宋_GB2312"/>
          <w:sz w:val="32"/>
          <w:szCs w:val="24"/>
          <w:lang w:val="en-US"/>
        </w:rPr>
        <w:t>万元，支出决算为39,156.95万元。</w:t>
      </w:r>
      <w:r>
        <w:rPr>
          <w:rFonts w:hint="eastAsia" w:ascii="仿宋_GB2312" w:hAnsi="仿宋_GB2312" w:eastAsia="仿宋_GB2312" w:cs="仿宋_GB2312"/>
          <w:color w:val="auto"/>
          <w:sz w:val="32"/>
          <w:szCs w:val="32"/>
          <w:highlight w:val="none"/>
          <w:lang w:val="en-US" w:eastAsia="zh-CN"/>
        </w:rPr>
        <w:t>不存在项目年末结转和结余资金数额较大。</w:t>
      </w:r>
      <w:r>
        <w:rPr>
          <w:rFonts w:hint="eastAsia" w:ascii="仿宋_GB2312" w:hAnsi="仿宋_GB2312" w:eastAsia="仿宋_GB2312"/>
          <w:sz w:val="32"/>
          <w:szCs w:val="24"/>
          <w:lang w:val="en-US"/>
        </w:rPr>
        <w:t>主要用于国有土地使用权出让收入安排的支出</w:t>
      </w:r>
      <w:r>
        <w:rPr>
          <w:rFonts w:hint="eastAsia" w:ascii="仿宋_GB2312" w:hAnsi="仿宋_GB2312" w:eastAsia="仿宋_GB2312"/>
          <w:sz w:val="32"/>
          <w:szCs w:val="24"/>
          <w:lang w:val="en-US" w:eastAsia="zh-CN"/>
        </w:rPr>
        <w:t>和</w:t>
      </w:r>
      <w:r>
        <w:rPr>
          <w:rFonts w:hint="eastAsia" w:ascii="仿宋_GB2312" w:hAnsi="仿宋_GB2312" w:eastAsia="仿宋_GB2312"/>
          <w:sz w:val="32"/>
          <w:szCs w:val="24"/>
          <w:lang w:val="en-US"/>
        </w:rPr>
        <w:t>棚户区改造专项债券收入安排的支出。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九、机关运行经费支出情况说明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2021年度机关运行经费年初预算为18.9万元，支出决66.70万元，完成年初预</w:t>
      </w:r>
      <w:r>
        <w:rPr>
          <w:rFonts w:hint="default" w:ascii="仿宋_GB2312" w:hAnsi="仿宋_GB2312" w:eastAsia="仿宋_GB2312" w:cs="仿宋_GB2312"/>
          <w:color w:val="auto"/>
          <w:sz w:val="32"/>
          <w:szCs w:val="32"/>
          <w:highlight w:val="none"/>
          <w:lang w:eastAsia="zh-CN"/>
        </w:rPr>
        <w:t>3</w:t>
      </w:r>
      <w:r>
        <w:rPr>
          <w:rFonts w:hint="eastAsia" w:ascii="仿宋_GB2312" w:hAnsi="仿宋_GB2312" w:eastAsia="仿宋_GB2312" w:cs="仿宋_GB2312"/>
          <w:color w:val="auto"/>
          <w:sz w:val="32"/>
          <w:szCs w:val="32"/>
          <w:highlight w:val="none"/>
          <w:lang w:val="en-US" w:eastAsia="zh-CN"/>
        </w:rPr>
        <w:t>52.91%。决算数与年初预算数存在差异的主要原因是</w:t>
      </w:r>
      <w:r>
        <w:rPr>
          <w:rFonts w:hint="default" w:ascii="仿宋_GB2312" w:hAnsi="仿宋_GB2312" w:eastAsia="仿宋_GB2312" w:cs="仿宋_GB2312"/>
          <w:color w:val="auto"/>
          <w:sz w:val="32"/>
          <w:szCs w:val="32"/>
          <w:highlight w:val="none"/>
          <w:lang w:eastAsia="zh-CN"/>
        </w:rPr>
        <w:t>我部门今年</w:t>
      </w:r>
      <w:r>
        <w:rPr>
          <w:rFonts w:hint="eastAsia" w:ascii="仿宋_GB2312" w:hAnsi="仿宋_GB2312" w:eastAsia="仿宋_GB2312" w:cs="仿宋_GB2312"/>
          <w:color w:val="auto"/>
          <w:sz w:val="32"/>
          <w:szCs w:val="32"/>
          <w:highlight w:val="none"/>
          <w:lang w:eastAsia="zh-CN"/>
        </w:rPr>
        <w:t>因工作量增加，</w:t>
      </w:r>
      <w:r>
        <w:rPr>
          <w:rFonts w:hint="default" w:ascii="仿宋_GB2312" w:hAnsi="仿宋_GB2312" w:eastAsia="仿宋_GB2312" w:cs="仿宋_GB2312"/>
          <w:color w:val="auto"/>
          <w:sz w:val="32"/>
          <w:szCs w:val="32"/>
          <w:highlight w:val="none"/>
          <w:lang w:eastAsia="zh-CN"/>
        </w:rPr>
        <w:t>机关运行经费支出</w:t>
      </w:r>
      <w:r>
        <w:rPr>
          <w:rFonts w:hint="eastAsia" w:ascii="仿宋_GB2312" w:hAnsi="仿宋_GB2312" w:eastAsia="仿宋_GB2312" w:cs="仿宋_GB2312"/>
          <w:color w:val="auto"/>
          <w:sz w:val="32"/>
          <w:szCs w:val="32"/>
          <w:highlight w:val="none"/>
          <w:lang w:eastAsia="zh-CN"/>
        </w:rPr>
        <w:t>也相应增加</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十、政府采购支出情况说明</w:t>
      </w:r>
    </w:p>
    <w:p>
      <w:pPr>
        <w:spacing w:beforeLines="0" w:afterLines="0" w:line="59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sz w:val="32"/>
          <w:szCs w:val="24"/>
          <w:lang w:val="en-US"/>
        </w:rPr>
        <w:t>2021年度政府采购支出总额0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万元，其中：政府采购货物支出0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万元、政府采购工程支出0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万元、政府采购服务支出0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万元。授予中小企业合同金额0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万元，占政府采购支出总额的0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%,其中：授予小微企业合同金额0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万元，占政府采购支出总额的0</w:t>
      </w:r>
      <w:r>
        <w:rPr>
          <w:rFonts w:hint="eastAsia" w:ascii="仿宋_GB2312" w:hAnsi="仿宋_GB2312" w:eastAsia="仿宋_GB2312"/>
          <w:sz w:val="32"/>
          <w:szCs w:val="24"/>
          <w:lang w:val="en-US" w:eastAsia="zh-CN"/>
        </w:rPr>
        <w:t>.00</w:t>
      </w:r>
      <w:r>
        <w:rPr>
          <w:rFonts w:hint="eastAsia" w:ascii="仿宋_GB2312" w:hAnsi="仿宋_GB2312" w:eastAsia="仿宋_GB2312"/>
          <w:sz w:val="32"/>
          <w:szCs w:val="24"/>
          <w:lang w:val="en-US"/>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仿宋_GB2312" w:hAnsi="仿宋_GB2312" w:eastAsia="仿宋_GB2312"/>
          <w:sz w:val="32"/>
          <w:szCs w:val="24"/>
          <w:lang w:val="en-US"/>
        </w:rPr>
      </w:pPr>
      <w:r>
        <w:rPr>
          <w:rFonts w:hint="eastAsia" w:ascii="黑体" w:hAnsi="黑体" w:eastAsia="黑体" w:cs="黑体"/>
          <w:color w:val="auto"/>
          <w:sz w:val="32"/>
          <w:szCs w:val="32"/>
          <w:highlight w:val="none"/>
          <w:lang w:val="en-US" w:eastAsia="zh-CN"/>
        </w:rPr>
        <w:t>十一、国有资产占用情况说明</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2021</w:t>
      </w:r>
      <w:r>
        <w:rPr>
          <w:rFonts w:hint="eastAsia" w:ascii="仿宋_GB2312" w:hAnsi="仿宋_GB2312" w:eastAsia="仿宋_GB2312" w:cs="仿宋_GB2312"/>
          <w:sz w:val="32"/>
          <w:szCs w:val="32"/>
          <w:highlight w:val="none"/>
        </w:rPr>
        <w:t>年期末，我</w:t>
      </w:r>
      <w:r>
        <w:rPr>
          <w:rFonts w:hint="eastAsia" w:ascii="仿宋_GB2312" w:hAnsi="仿宋_GB2312" w:eastAsia="仿宋_GB2312" w:cs="仿宋_GB2312"/>
          <w:sz w:val="32"/>
          <w:szCs w:val="32"/>
          <w:highlight w:val="none"/>
          <w:lang w:eastAsia="zh-CN"/>
        </w:rPr>
        <w:t>部门</w:t>
      </w:r>
      <w:r>
        <w:rPr>
          <w:rFonts w:hint="eastAsia" w:ascii="仿宋_GB2312" w:hAnsi="仿宋_GB2312" w:eastAsia="仿宋_GB2312" w:cs="仿宋_GB2312"/>
          <w:sz w:val="32"/>
          <w:szCs w:val="32"/>
          <w:highlight w:val="none"/>
        </w:rPr>
        <w:t>共有车辆</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辆，其中：省级领导干部用车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辆、应急保障车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辆、执法执勤用车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辆、特种专业技术用车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辆、离退休干部用车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辆；单位价值50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万元以上通用设备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台（套），单位价值100</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万元以上专用设备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w:t>
      </w:r>
    </w:p>
    <w:p>
      <w:pPr>
        <w:spacing w:beforeLines="0" w:afterLines="0" w:line="590" w:lineRule="exact"/>
        <w:ind w:firstLine="640"/>
        <w:rPr>
          <w:rFonts w:hint="default" w:ascii="Times New Roman" w:hAnsi="Times New Roman" w:eastAsia="Times New Roman"/>
          <w:sz w:val="32"/>
          <w:szCs w:val="24"/>
          <w:lang w:val="en-US"/>
        </w:rPr>
      </w:pPr>
      <w:r>
        <w:rPr>
          <w:rFonts w:hint="eastAsia" w:ascii="黑体" w:hAnsi="黑体" w:eastAsia="黑体"/>
          <w:sz w:val="32"/>
          <w:szCs w:val="24"/>
          <w:lang w:val="en-US"/>
        </w:rPr>
        <w:t>十二、预算绩效情况说明</w:t>
      </w:r>
    </w:p>
    <w:p>
      <w:pPr>
        <w:spacing w:beforeLines="0" w:afterLines="0" w:line="590" w:lineRule="exact"/>
        <w:ind w:firstLine="640"/>
        <w:rPr>
          <w:rFonts w:hint="default" w:ascii="Times New Roman" w:hAnsi="Times New Roman" w:eastAsia="Times New Roman"/>
          <w:b/>
          <w:sz w:val="32"/>
          <w:szCs w:val="24"/>
          <w:highlight w:val="none"/>
          <w:lang w:val="en-US"/>
        </w:rPr>
      </w:pPr>
      <w:r>
        <w:rPr>
          <w:rFonts w:hint="eastAsia" w:ascii="楷体_GB2312" w:hAnsi="楷体_GB2312" w:eastAsia="楷体_GB2312"/>
          <w:b/>
          <w:sz w:val="32"/>
          <w:szCs w:val="24"/>
          <w:highlight w:val="none"/>
          <w:lang w:val="en-US"/>
        </w:rPr>
        <w:t>（一）绩效管理工作开展情况。</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Times New Roman"/>
          <w:sz w:val="32"/>
          <w:szCs w:val="24"/>
          <w:highlight w:val="none"/>
          <w:lang w:val="en-US"/>
        </w:rPr>
      </w:pPr>
      <w:r>
        <w:rPr>
          <w:rFonts w:hint="eastAsia" w:ascii="仿宋_GB2312" w:hAnsi="仿宋_GB2312" w:eastAsia="仿宋_GB2312" w:cs="仿宋_GB2312"/>
          <w:color w:val="auto"/>
          <w:sz w:val="32"/>
          <w:szCs w:val="32"/>
          <w:highlight w:val="none"/>
          <w:lang w:val="en-US" w:eastAsia="zh-CN"/>
        </w:rPr>
        <w:t>我部门按照《许昌市建安区财政局关于开展2021年度区级预算项目绩效自评工作的通知》（建安财效〔2022〕2号）文件要求，对本部门整体支出和项目支出开展全过程预算绩效管理。2021年我单位纳入预算绩效管理的支出总额为84060.02万元，其中：基本支出3036.08万元；支出项目35个，支出金额81023.94万元。开展项目绩效自评项目35个，自评金额81023.94万元；纳入重点绩效评价0个，评价金额0.00万元。</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部门（单位）整体和项目绩效自评结果。</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right="0" w:rightChars="0" w:firstLine="640" w:firstLineChars="200"/>
        <w:jc w:val="both"/>
        <w:textAlignment w:val="auto"/>
        <w:outlineLvl w:val="2"/>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按照《许昌市财政局关于开展2021年度市级预算绩效自评工作的通知》（许财效）〔2021〕1号）等文件精神，我部门对本部门整体绩效目标和项目支出绩效目标进行了自评。一是部门整体绩效自评情况：</w:t>
      </w:r>
      <w:r>
        <w:rPr>
          <w:rFonts w:hint="eastAsia" w:ascii="仿宋_GB2312" w:hAnsi="仿宋_GB2312" w:eastAsia="仿宋_GB2312" w:cs="仿宋_GB2312"/>
          <w:sz w:val="32"/>
          <w:szCs w:val="32"/>
          <w:highlight w:val="none"/>
        </w:rPr>
        <w:t>自20</w:t>
      </w:r>
      <w:r>
        <w:rPr>
          <w:rFonts w:hint="eastAsia" w:ascii="仿宋_GB2312" w:hAnsi="仿宋_GB2312" w:eastAsia="仿宋_GB2312" w:cs="仿宋_GB2312"/>
          <w:sz w:val="32"/>
          <w:szCs w:val="32"/>
          <w:highlight w:val="none"/>
          <w:lang w:val="en-US" w:eastAsia="zh-CN"/>
        </w:rPr>
        <w:t>21</w:t>
      </w:r>
      <w:r>
        <w:rPr>
          <w:rFonts w:hint="eastAsia" w:ascii="仿宋_GB2312" w:hAnsi="仿宋_GB2312" w:eastAsia="仿宋_GB2312" w:cs="仿宋_GB2312"/>
          <w:sz w:val="32"/>
          <w:szCs w:val="32"/>
          <w:highlight w:val="none"/>
        </w:rPr>
        <w:t>年全面开展绩效工作，对管理人员，主要是根据层层分解的关键业绩指标完成情况进行考核；同时，在</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sz w:val="32"/>
          <w:szCs w:val="32"/>
          <w:highlight w:val="none"/>
        </w:rPr>
        <w:t>里倡导采用“考勤制”考核办法，办公室出台了“工作突出制”实施指导意见，帮助</w:t>
      </w:r>
      <w:r>
        <w:rPr>
          <w:rFonts w:hint="eastAsia" w:ascii="仿宋_GB2312" w:hAnsi="仿宋_GB2312" w:eastAsia="仿宋_GB2312" w:cs="仿宋_GB2312"/>
          <w:sz w:val="32"/>
          <w:szCs w:val="32"/>
          <w:highlight w:val="none"/>
          <w:lang w:eastAsia="zh-CN"/>
        </w:rPr>
        <w:t>处</w:t>
      </w:r>
      <w:r>
        <w:rPr>
          <w:rFonts w:hint="eastAsia" w:ascii="仿宋_GB2312" w:hAnsi="仿宋_GB2312" w:eastAsia="仿宋_GB2312" w:cs="仿宋_GB2312"/>
          <w:sz w:val="32"/>
          <w:szCs w:val="32"/>
          <w:highlight w:val="none"/>
        </w:rPr>
        <w:t>里建立各自的考核办法。经过</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的实施，绩效管理在管理人员中起到了一定的积极作用，各级管理人员真正认识到自己的岗位职责，能够认真履职，管理水平得到极大地提高。在任务繁重、人员紧张的情况下，我们看到，由于长期疲劳工作，干活多的人和干活少的人有了比较，岗位高的人与岗位低的人都在努力干好自己的工作，遵守</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sz w:val="32"/>
          <w:szCs w:val="32"/>
          <w:highlight w:val="none"/>
        </w:rPr>
        <w:t>里的纪律，</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sz w:val="32"/>
          <w:szCs w:val="32"/>
          <w:highlight w:val="none"/>
        </w:rPr>
        <w:t>里的凝聚力和战斗力提高，工作效率提高，以上现象，说明我们的</w:t>
      </w:r>
      <w:r>
        <w:rPr>
          <w:rFonts w:hint="eastAsia" w:ascii="仿宋_GB2312" w:hAnsi="仿宋_GB2312" w:eastAsia="仿宋_GB2312" w:cs="仿宋_GB2312"/>
          <w:sz w:val="32"/>
          <w:szCs w:val="32"/>
          <w:highlight w:val="none"/>
          <w:lang w:eastAsia="zh-CN"/>
        </w:rPr>
        <w:t>整体</w:t>
      </w:r>
      <w:r>
        <w:rPr>
          <w:rFonts w:hint="eastAsia" w:ascii="仿宋_GB2312" w:hAnsi="仿宋_GB2312" w:eastAsia="仿宋_GB2312" w:cs="仿宋_GB2312"/>
          <w:sz w:val="32"/>
          <w:szCs w:val="32"/>
          <w:highlight w:val="none"/>
        </w:rPr>
        <w:t>绩效管理工作取得了一定的成效</w:t>
      </w:r>
      <w:r>
        <w:rPr>
          <w:rFonts w:hint="eastAsia" w:ascii="仿宋_GB2312" w:hAnsi="仿宋_GB2312" w:eastAsia="仿宋_GB2312" w:cs="仿宋_GB2312"/>
          <w:color w:val="auto"/>
          <w:sz w:val="32"/>
          <w:szCs w:val="32"/>
          <w:highlight w:val="none"/>
          <w:lang w:val="en-US" w:eastAsia="zh-CN"/>
        </w:rPr>
        <w:t>。二是项目绩效自评情况。我部门共有35个项目批复了绩效目标。</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其中：</w:t>
      </w:r>
      <w:bookmarkStart w:id="0" w:name="_GoBack"/>
      <w:bookmarkEnd w:id="0"/>
    </w:p>
    <w:p>
      <w:pPr>
        <w:widowControl/>
        <w:numPr>
          <w:ilvl w:val="0"/>
          <w:numId w:val="0"/>
        </w:numPr>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许昌市建安区住房和城乡建设局</w:t>
      </w:r>
      <w:r>
        <w:rPr>
          <w:rFonts w:hint="eastAsia" w:ascii="仿宋_GB2312" w:hAnsi="仿宋_GB2312" w:eastAsia="仿宋_GB2312" w:cs="仿宋_GB2312"/>
          <w:kern w:val="0"/>
          <w:sz w:val="32"/>
          <w:szCs w:val="32"/>
          <w:lang w:eastAsia="zh-CN"/>
        </w:rPr>
        <w:t>（本级）</w:t>
      </w:r>
      <w:r>
        <w:rPr>
          <w:rFonts w:hint="eastAsia" w:ascii="仿宋_GB2312" w:hAnsi="仿宋_GB2312" w:eastAsia="仿宋_GB2312" w:cs="仿宋_GB2312"/>
          <w:kern w:val="0"/>
          <w:sz w:val="32"/>
          <w:szCs w:val="32"/>
          <w:lang w:val="en-US" w:eastAsia="zh-CN"/>
        </w:rPr>
        <w:t>35个</w:t>
      </w:r>
    </w:p>
    <w:p>
      <w:pPr>
        <w:widowControl/>
        <w:numPr>
          <w:ilvl w:val="0"/>
          <w:numId w:val="0"/>
        </w:numPr>
        <w:ind w:firstLine="640" w:firstLineChars="200"/>
        <w:jc w:val="lef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2.许昌市建安区市政</w:t>
      </w:r>
      <w:r>
        <w:rPr>
          <w:rFonts w:hint="eastAsia" w:ascii="仿宋_GB2312" w:hAnsi="仿宋_GB2312" w:eastAsia="仿宋_GB2312" w:cs="仿宋_GB2312"/>
          <w:kern w:val="0"/>
          <w:sz w:val="32"/>
          <w:szCs w:val="32"/>
          <w:lang w:eastAsia="zh-CN"/>
        </w:rPr>
        <w:t>管护所</w:t>
      </w:r>
      <w:r>
        <w:rPr>
          <w:rFonts w:hint="eastAsia" w:ascii="仿宋_GB2312" w:hAnsi="仿宋_GB2312" w:eastAsia="仿宋_GB2312" w:cs="仿宋_GB2312"/>
          <w:kern w:val="0"/>
          <w:sz w:val="32"/>
          <w:szCs w:val="32"/>
          <w:lang w:val="en-US" w:eastAsia="zh-CN"/>
        </w:rPr>
        <w:t>0个</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.许昌市建安区建设工程质量监督站</w:t>
      </w:r>
      <w:r>
        <w:rPr>
          <w:rFonts w:hint="eastAsia" w:ascii="仿宋_GB2312" w:hAnsi="仿宋_GB2312" w:eastAsia="仿宋_GB2312" w:cs="仿宋_GB2312"/>
          <w:kern w:val="0"/>
          <w:sz w:val="32"/>
          <w:szCs w:val="32"/>
          <w:lang w:val="en-US" w:eastAsia="zh-CN"/>
        </w:rPr>
        <w:t>0个</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.许昌市建安区建筑工程标准定额管理站</w:t>
      </w:r>
      <w:r>
        <w:rPr>
          <w:rFonts w:hint="eastAsia" w:ascii="仿宋_GB2312" w:hAnsi="仿宋_GB2312" w:eastAsia="仿宋_GB2312" w:cs="仿宋_GB2312"/>
          <w:kern w:val="0"/>
          <w:sz w:val="32"/>
          <w:szCs w:val="32"/>
          <w:lang w:val="en-US" w:eastAsia="zh-CN"/>
        </w:rPr>
        <w:t>0个</w:t>
      </w:r>
    </w:p>
    <w:p>
      <w:pPr>
        <w:widowControl/>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.许昌市建安区</w:t>
      </w:r>
      <w:r>
        <w:rPr>
          <w:rFonts w:hint="eastAsia" w:ascii="仿宋_GB2312" w:hAnsi="仿宋_GB2312" w:eastAsia="仿宋_GB2312" w:cs="仿宋_GB2312"/>
          <w:kern w:val="0"/>
          <w:sz w:val="32"/>
          <w:szCs w:val="32"/>
          <w:lang w:eastAsia="zh-CN"/>
        </w:rPr>
        <w:t>房屋征收中心</w:t>
      </w:r>
      <w:r>
        <w:rPr>
          <w:rFonts w:hint="eastAsia" w:ascii="仿宋_GB2312" w:hAnsi="仿宋_GB2312" w:eastAsia="仿宋_GB2312" w:cs="仿宋_GB2312"/>
          <w:kern w:val="0"/>
          <w:sz w:val="32"/>
          <w:szCs w:val="32"/>
          <w:lang w:val="en-US" w:eastAsia="zh-CN"/>
        </w:rPr>
        <w:t>0个</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.许昌市建安区城建监察大队</w:t>
      </w:r>
      <w:r>
        <w:rPr>
          <w:rFonts w:hint="eastAsia" w:ascii="仿宋_GB2312" w:hAnsi="仿宋_GB2312" w:eastAsia="仿宋_GB2312" w:cs="仿宋_GB2312"/>
          <w:kern w:val="0"/>
          <w:sz w:val="32"/>
          <w:szCs w:val="32"/>
          <w:lang w:val="en-US" w:eastAsia="zh-CN"/>
        </w:rPr>
        <w:t>0个</w:t>
      </w:r>
    </w:p>
    <w:p>
      <w:pPr>
        <w:widowControl/>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.许昌市建安区</w:t>
      </w:r>
      <w:r>
        <w:rPr>
          <w:rFonts w:hint="eastAsia" w:ascii="仿宋_GB2312" w:hAnsi="仿宋_GB2312" w:eastAsia="仿宋_GB2312" w:cs="仿宋_GB2312"/>
          <w:kern w:val="0"/>
          <w:sz w:val="32"/>
          <w:szCs w:val="32"/>
          <w:lang w:eastAsia="zh-CN"/>
        </w:rPr>
        <w:t>房产管理局</w:t>
      </w:r>
      <w:r>
        <w:rPr>
          <w:rFonts w:hint="eastAsia" w:ascii="仿宋_GB2312" w:hAnsi="仿宋_GB2312" w:eastAsia="仿宋_GB2312" w:cs="仿宋_GB2312"/>
          <w:kern w:val="0"/>
          <w:sz w:val="32"/>
          <w:szCs w:val="32"/>
          <w:lang w:val="en-US" w:eastAsia="zh-CN"/>
        </w:rPr>
        <w:t>0个</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8、许昌市建安区室内装饰行业发展服务中心0个</w:t>
      </w:r>
    </w:p>
    <w:p>
      <w:pPr>
        <w:widowControl/>
        <w:ind w:firstLine="640" w:firstLineChars="200"/>
        <w:jc w:val="lef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9、许昌市建安区城镇住房制度改革办公室0个</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基于项目预期目标的实现程度，对2021年度项目支出绩效进行自评，绩效自评平均得分为98.00分。其中：20个项目评价等级为“优”、10个项目评价等级为“良”、5个项目评价等级为“中”、0个项目评价等级为“差”。</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（三）重点绩效评价结果。</w:t>
      </w:r>
    </w:p>
    <w:p>
      <w:pPr>
        <w:pStyle w:val="2"/>
        <w:ind w:left="0" w:lef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我部门选取0个项目开展了部门重点评价。</w:t>
      </w:r>
      <w:r>
        <w:rPr>
          <w:rFonts w:hint="eastAsia" w:ascii="仿宋_GB2312" w:hAnsi="仿宋_GB2312" w:eastAsia="仿宋_GB2312" w:cs="仿宋_GB2312"/>
          <w:color w:val="000000"/>
          <w:sz w:val="32"/>
          <w:szCs w:val="32"/>
          <w:highlight w:val="none"/>
          <w:lang w:val="en-US" w:eastAsia="zh-CN"/>
        </w:rPr>
        <w:t>2021年，</w:t>
      </w:r>
      <w:r>
        <w:rPr>
          <w:rFonts w:hint="eastAsia" w:ascii="仿宋_GB2312" w:hAnsi="仿宋_GB2312" w:eastAsia="仿宋_GB2312" w:cs="仿宋_GB2312"/>
          <w:color w:val="auto"/>
          <w:sz w:val="32"/>
          <w:szCs w:val="32"/>
          <w:highlight w:val="none"/>
          <w:lang w:val="en-US" w:eastAsia="zh-CN"/>
        </w:rPr>
        <w:t>许昌市建安区财政局选取我部门</w:t>
      </w:r>
      <w:r>
        <w:rPr>
          <w:rFonts w:hint="eastAsia" w:ascii="仿宋_GB2312" w:hAnsi="仿宋_GB2312" w:eastAsia="仿宋_GB2312" w:cs="仿宋_GB2312"/>
          <w:color w:val="000000"/>
          <w:sz w:val="32"/>
          <w:szCs w:val="32"/>
          <w:highlight w:val="none"/>
          <w:lang w:val="en-US" w:eastAsia="zh-CN"/>
        </w:rPr>
        <w:t>：中央财政城镇保障性安居工程补助资金项目开展财政重点评价。其中：</w:t>
      </w:r>
    </w:p>
    <w:p>
      <w:pPr>
        <w:pStyle w:val="2"/>
        <w:ind w:left="0" w:leftChars="0" w:firstLine="640" w:firstLineChars="200"/>
        <w:jc w:val="both"/>
        <w:rPr>
          <w:highlight w:val="none"/>
        </w:rPr>
      </w:pPr>
      <w:r>
        <w:rPr>
          <w:rFonts w:hint="eastAsia" w:ascii="仿宋_GB2312" w:hAnsi="仿宋_GB2312" w:eastAsia="仿宋_GB2312" w:cs="仿宋_GB2312"/>
          <w:color w:val="000000"/>
          <w:sz w:val="32"/>
          <w:szCs w:val="32"/>
          <w:highlight w:val="none"/>
          <w:lang w:val="en-US" w:eastAsia="zh-CN"/>
        </w:rPr>
        <w:t>中央财政城镇保障性安居工程补助资金项目评价得分：   88.50分，等次为“良”。</w:t>
      </w:r>
    </w:p>
    <w:p>
      <w:pPr>
        <w:pStyle w:val="2"/>
        <w:rPr>
          <w:rFonts w:hint="eastAsia"/>
          <w:highlight w:val="none"/>
          <w:lang w:val="en-US" w:eastAsia="zh-CN"/>
        </w:rPr>
        <w:sectPr>
          <w:pgSz w:w="11906" w:h="16838"/>
          <w:pgMar w:top="1440" w:right="1800" w:bottom="1440" w:left="1800" w:header="720" w:footer="720" w:gutter="0"/>
          <w:pgNumType w:fmt="numberInDash"/>
          <w:cols w:space="720" w:num="1"/>
          <w:docGrid w:type="lines" w:linePitch="312" w:charSpace="0"/>
        </w:sect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r>
        <w:rPr>
          <w:rFonts w:hint="eastAsia" w:ascii="黑体" w:hAnsi="黑体" w:eastAsia="黑体" w:cs="黑体"/>
          <w:color w:val="auto"/>
          <w:sz w:val="48"/>
          <w:szCs w:val="48"/>
          <w:highlight w:val="none"/>
        </w:rPr>
        <w:t>第</w:t>
      </w:r>
      <w:r>
        <w:rPr>
          <w:rFonts w:hint="eastAsia" w:ascii="黑体" w:hAnsi="黑体" w:eastAsia="黑体" w:cs="黑体"/>
          <w:color w:val="auto"/>
          <w:sz w:val="48"/>
          <w:szCs w:val="48"/>
          <w:highlight w:val="none"/>
          <w:lang w:eastAsia="zh-CN"/>
        </w:rPr>
        <w:t>四</w:t>
      </w:r>
      <w:r>
        <w:rPr>
          <w:rFonts w:hint="eastAsia" w:ascii="黑体" w:hAnsi="黑体" w:eastAsia="黑体" w:cs="黑体"/>
          <w:color w:val="auto"/>
          <w:sz w:val="48"/>
          <w:szCs w:val="48"/>
          <w:highlight w:val="none"/>
        </w:rPr>
        <w:t>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rPr>
        <w:t>名词解释</w:t>
      </w:r>
    </w:p>
    <w:p>
      <w:pPr>
        <w:jc w:val="center"/>
        <w:outlineLvl w:val="9"/>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sectPr>
          <w:pgSz w:w="11906" w:h="16838"/>
          <w:pgMar w:top="1440" w:right="1531" w:bottom="1440" w:left="1587" w:header="850" w:footer="992" w:gutter="0"/>
          <w:pgBorders>
            <w:top w:val="none" w:sz="0" w:space="0"/>
            <w:left w:val="none" w:sz="0" w:space="0"/>
            <w:bottom w:val="none" w:sz="0" w:space="0"/>
            <w:right w:val="none" w:sz="0" w:space="0"/>
          </w:pgBorders>
          <w:pgNumType w:fmt="numberInDash"/>
          <w:cols w:space="720" w:num="1"/>
          <w:rtlGutter w:val="0"/>
          <w:docGrid w:type="lines" w:linePitch="317" w:charSpace="0"/>
        </w:sect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一、财政拨款收入：</w:t>
      </w:r>
      <w:r>
        <w:rPr>
          <w:rFonts w:hint="eastAsia" w:ascii="仿宋_GB2312" w:hAnsi="仿宋_GB2312" w:eastAsia="仿宋_GB2312" w:cs="仿宋_GB2312"/>
          <w:color w:val="auto"/>
          <w:sz w:val="32"/>
          <w:szCs w:val="32"/>
          <w:highlight w:val="none"/>
          <w:lang w:val="en-US" w:eastAsia="zh-CN"/>
        </w:rPr>
        <w:t>单位从同级政府财政部门取得的财政预算资金。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二、基本支出：为保障机构正常运转、完成日常工作任务而发生的人员支出和公用支出。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三公”经费：纳入同级财政预决算管理“三公”经费，指部门使用财政拨款安排的因公出国（境）费、公务用车购置及运行费和公务接待费。其中，因公出国（境）费反映单位公务出国（境）的国际旅费、国外城市间交通费、住宿费、伙食费、培训费、公杂费等支出；公务用车购置及运行费反映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四、工资福利支出：单位支付给在职职工和编制外长期聘用人员的各类劳动报酬，以及为上述人员缴纳的各项社会保险费等。</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五、商品和服务支出：单位购买商品和服务的支出。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六、对个人和家庭的补助支出：单位用于对个人和家庭的补助支出。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八、年末结转：本年度或以前年度预算安排，已执行但尚未完成或因客观条件发生变化无法按原计划实施，需延迟到以后年度按有关规定继续使用的资金。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九、年末结余：本年度或以前年度预算安排，已执行完毕或因客观条件发生变化无法按原预算安排实施，不需要再使用或无法按原预算安排继续使用的资金。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p>
      <w:pPr>
        <w:widowControl/>
        <w:spacing w:line="590" w:lineRule="exact"/>
        <w:ind w:firstLine="640" w:firstLineChars="200"/>
        <w:jc w:val="left"/>
        <w:rPr>
          <w:rFonts w:hint="eastAsia" w:ascii="仿宋_GB2312" w:hAnsi="仿宋_GB2312" w:eastAsia="仿宋_GB2312" w:cs="仿宋_GB2312"/>
          <w:sz w:val="32"/>
          <w:szCs w:val="32"/>
          <w:highlight w:val="none"/>
        </w:r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- 3 -</w:t>
                          </w:r>
                          <w:r>
                            <w:rPr>
                              <w:rFonts w:hint="eastAsia"/>
                              <w:sz w:val="18"/>
                              <w:lang w:eastAsia="zh-CN"/>
                            </w:rPr>
                            <w:fldChar w:fldCharType="end"/>
                          </w:r>
                        </w:p>
                      </w:txbxContent>
                    </wps:txbx>
                    <wps:bodyPr vert="horz" wrap="none" lIns="0" tIns="0" rIns="0" bIns="0" anchor="t"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ql5uc8AAAAFAQAADwAAAAAA&#10;AAABACAAAAAiAAAAZHJzL2Rvd25yZXYueG1sUEsBAhQAFAAAAAgAh07iQHKud5/jAQAAvAMAAA4A&#10;AAAAAAAAAQAgAAAAHgEAAGRycy9lMm9Eb2MueG1sUEsFBgAAAAAGAAYAWQEAAHM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- 3 -</w:t>
                    </w:r>
                    <w:r>
                      <w:rPr>
                        <w:rFonts w:hint="eastAsia"/>
                        <w:sz w:val="1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rPr>
                              <w:rFonts w:hint="eastAsia"/>
                              <w:lang w:eastAsia="zh-CN"/>
                            </w:rPr>
                          </w:pPr>
                        </w:p>
                      </w:txbxContent>
                    </wps:txbx>
                    <wps:bodyPr vert="horz" wrap="none" lIns="0" tIns="0" rIns="0" bIns="0" anchor="t"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ql5uc8AAAAFAQAADwAAAAAA&#10;AAABACAAAAAiAAAAZHJzL2Rvd25yZXYueG1sUEsBAhQAFAAAAAgAh07iQD9vcFDjAQAAvAMAAA4A&#10;AAAAAAAAAQAgAAAAHgEAAGRycy9lMm9Eb2MueG1sUEsFBgAAAAAGAAYAWQEAAHMFAAAAAA==&#10;">
              <v:fill on="f" focussize="0,0"/>
              <v:stroke on="f"/>
              <v:imagedata o:title=""/>
              <o:lock v:ext="edit" aspectratio="f"/>
              <v:textbox inset="0mm,0mm,0mm,0mm" style="mso-fit-shape-to-text:t;">
                <w:txbxContent>
                  <w:p>
                    <w:pPr>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205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BuuGmrUAQAApQMAAA4AAAAAAAAAAQAgAAAAHgEA&#10;AGRycy9lMm9Eb2MueG1sUEsFBgAAAAAGAAYAWQEAAGQ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chineseCounting"/>
      <w:suff w:val="nothing"/>
      <w:lvlText w:val="%1、"/>
      <w:lvlJc w:val="left"/>
    </w:lvl>
  </w:abstractNum>
  <w:abstractNum w:abstractNumId="1">
    <w:nsid w:val="4E388F89"/>
    <w:multiLevelType w:val="singleLevel"/>
    <w:tmpl w:val="4E388F8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2NTJmZmNiYTdkYTgyYzg0YWIyMGM2MzA4ZWY1NTUifQ=="/>
  </w:docVars>
  <w:rsids>
    <w:rsidRoot w:val="00172A27"/>
    <w:rsid w:val="019A6C6C"/>
    <w:rsid w:val="027957EF"/>
    <w:rsid w:val="02923287"/>
    <w:rsid w:val="0365214C"/>
    <w:rsid w:val="03C0393E"/>
    <w:rsid w:val="040F4CE5"/>
    <w:rsid w:val="09CD27F9"/>
    <w:rsid w:val="0C7D0859"/>
    <w:rsid w:val="113969C6"/>
    <w:rsid w:val="12200D26"/>
    <w:rsid w:val="146D0443"/>
    <w:rsid w:val="14E91784"/>
    <w:rsid w:val="15951925"/>
    <w:rsid w:val="17D4703A"/>
    <w:rsid w:val="18C272A1"/>
    <w:rsid w:val="18D35635"/>
    <w:rsid w:val="1A4D67C7"/>
    <w:rsid w:val="1AB73F82"/>
    <w:rsid w:val="1C20338F"/>
    <w:rsid w:val="1F274E78"/>
    <w:rsid w:val="20CA499C"/>
    <w:rsid w:val="20E30C79"/>
    <w:rsid w:val="21CA3785"/>
    <w:rsid w:val="25BF68AD"/>
    <w:rsid w:val="2A2F3CB2"/>
    <w:rsid w:val="30590093"/>
    <w:rsid w:val="30EE7E08"/>
    <w:rsid w:val="38E21D94"/>
    <w:rsid w:val="3DA63472"/>
    <w:rsid w:val="40C865DF"/>
    <w:rsid w:val="42CB2D6A"/>
    <w:rsid w:val="46516ED1"/>
    <w:rsid w:val="4AE72A13"/>
    <w:rsid w:val="4D966AFD"/>
    <w:rsid w:val="4EFE140B"/>
    <w:rsid w:val="4F0B5C30"/>
    <w:rsid w:val="52D61B21"/>
    <w:rsid w:val="589E6FB8"/>
    <w:rsid w:val="59765FAB"/>
    <w:rsid w:val="59D2488F"/>
    <w:rsid w:val="59FD5F9E"/>
    <w:rsid w:val="5A981A80"/>
    <w:rsid w:val="5AE06944"/>
    <w:rsid w:val="5D8F31C2"/>
    <w:rsid w:val="610C4B2A"/>
    <w:rsid w:val="617F2279"/>
    <w:rsid w:val="626148F8"/>
    <w:rsid w:val="62FA526B"/>
    <w:rsid w:val="637D021F"/>
    <w:rsid w:val="652215EA"/>
    <w:rsid w:val="6740552D"/>
    <w:rsid w:val="67EF61C7"/>
    <w:rsid w:val="68EC774A"/>
    <w:rsid w:val="6A03236B"/>
    <w:rsid w:val="6A7664F1"/>
    <w:rsid w:val="6ABA220A"/>
    <w:rsid w:val="6B30409D"/>
    <w:rsid w:val="6C3F20DF"/>
    <w:rsid w:val="70D269D2"/>
    <w:rsid w:val="711A6320"/>
    <w:rsid w:val="72ED47BB"/>
    <w:rsid w:val="7523004F"/>
    <w:rsid w:val="765A7D3B"/>
    <w:rsid w:val="77007CC7"/>
    <w:rsid w:val="789A5403"/>
    <w:rsid w:val="7C243E50"/>
    <w:rsid w:val="7CF26EE1"/>
    <w:rsid w:val="7EC424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0"/>
    <w:pPr>
      <w:keepNext/>
      <w:keepLines/>
      <w:spacing w:before="340" w:beforeLines="0" w:after="330" w:afterLines="0" w:line="576" w:lineRule="auto"/>
      <w:outlineLvl w:val="0"/>
    </w:pPr>
    <w:rPr>
      <w:b/>
      <w:bCs/>
      <w:kern w:val="44"/>
      <w:sz w:val="44"/>
      <w:szCs w:val="44"/>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qFormat/>
    <w:uiPriority w:val="99"/>
    <w:pPr>
      <w:jc w:val="center"/>
    </w:pPr>
    <w:rPr>
      <w:rFonts w:eastAsia="黑体"/>
      <w:sz w:val="36"/>
      <w:szCs w:val="20"/>
    </w:rPr>
  </w:style>
  <w:style w:type="paragraph" w:styleId="5">
    <w:name w:val="annotation text"/>
    <w:basedOn w:val="1"/>
    <w:qFormat/>
    <w:uiPriority w:val="0"/>
    <w:pPr>
      <w:jc w:val="left"/>
    </w:pPr>
  </w:style>
  <w:style w:type="paragraph" w:styleId="6">
    <w:name w:val="Balloon Text"/>
    <w:basedOn w:val="1"/>
    <w:link w:val="20"/>
    <w:qFormat/>
    <w:uiPriority w:val="0"/>
    <w:rPr>
      <w:kern w:val="2"/>
      <w:sz w:val="18"/>
      <w:szCs w:val="18"/>
    </w:rPr>
  </w:style>
  <w:style w:type="paragraph" w:styleId="7">
    <w:name w:val="footer"/>
    <w:basedOn w:val="1"/>
    <w:link w:val="16"/>
    <w:qFormat/>
    <w:uiPriority w:val="0"/>
    <w:pPr>
      <w:tabs>
        <w:tab w:val="center" w:pos="4153"/>
        <w:tab w:val="right" w:pos="8306"/>
      </w:tabs>
      <w:snapToGrid w:val="0"/>
      <w:jc w:val="left"/>
    </w:pPr>
    <w:rPr>
      <w:kern w:val="2"/>
      <w:sz w:val="18"/>
      <w:szCs w:val="18"/>
    </w:rPr>
  </w:style>
  <w:style w:type="paragraph" w:styleId="8">
    <w:name w:val="header"/>
    <w:basedOn w:val="1"/>
    <w:link w:val="21"/>
    <w:qFormat/>
    <w:uiPriority w:val="0"/>
    <w:pPr>
      <w:pBdr>
        <w:bottom w:val="single" w:color="auto" w:sz="6" w:space="1"/>
      </w:pBdr>
      <w:tabs>
        <w:tab w:val="center" w:pos="4153"/>
        <w:tab w:val="right" w:pos="8306"/>
      </w:tabs>
      <w:snapToGrid w:val="0"/>
      <w:jc w:val="center"/>
    </w:pPr>
    <w:rPr>
      <w:kern w:val="2"/>
      <w:sz w:val="18"/>
      <w:szCs w:val="18"/>
    </w:rPr>
  </w:style>
  <w:style w:type="paragraph" w:styleId="9">
    <w:name w:val="footnote text"/>
    <w:basedOn w:val="1"/>
    <w:qFormat/>
    <w:uiPriority w:val="0"/>
    <w:pPr>
      <w:snapToGrid w:val="0"/>
      <w:jc w:val="left"/>
    </w:pPr>
    <w:rPr>
      <w:sz w:val="18"/>
    </w:rPr>
  </w:style>
  <w:style w:type="character" w:styleId="12">
    <w:name w:val="FollowedHyperlink"/>
    <w:qFormat/>
    <w:uiPriority w:val="0"/>
    <w:rPr>
      <w:color w:val="800080"/>
      <w:u w:val="single"/>
    </w:rPr>
  </w:style>
  <w:style w:type="character" w:styleId="13">
    <w:name w:val="Hyperlink"/>
    <w:qFormat/>
    <w:uiPriority w:val="0"/>
    <w:rPr>
      <w:color w:val="0000FF"/>
      <w:u w:val="single"/>
    </w:rPr>
  </w:style>
  <w:style w:type="character" w:styleId="14">
    <w:name w:val="footnote reference"/>
    <w:basedOn w:val="11"/>
    <w:qFormat/>
    <w:uiPriority w:val="0"/>
    <w:rPr>
      <w:vertAlign w:val="superscript"/>
    </w:rPr>
  </w:style>
  <w:style w:type="paragraph" w:customStyle="1" w:styleId="15">
    <w:name w:val="标题1"/>
    <w:basedOn w:val="4"/>
    <w:qFormat/>
    <w:uiPriority w:val="0"/>
    <w:pPr>
      <w:spacing w:before="0" w:beforeLines="0" w:after="0" w:afterLines="0" w:line="240" w:lineRule="auto"/>
      <w:jc w:val="center"/>
    </w:pPr>
    <w:rPr>
      <w:rFonts w:ascii="华文中宋" w:hAnsi="华文中宋" w:eastAsia="华文中宋"/>
      <w:sz w:val="36"/>
      <w:szCs w:val="36"/>
    </w:rPr>
  </w:style>
  <w:style w:type="character" w:customStyle="1" w:styleId="16">
    <w:name w:val="页脚 Char Char"/>
    <w:link w:val="7"/>
    <w:qFormat/>
    <w:uiPriority w:val="0"/>
    <w:rPr>
      <w:kern w:val="2"/>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51"/>
    <w:basedOn w:val="11"/>
    <w:qFormat/>
    <w:uiPriority w:val="0"/>
    <w:rPr>
      <w:rFonts w:hint="eastAsia" w:ascii="宋体" w:hAnsi="宋体" w:eastAsia="宋体" w:cs="宋体"/>
      <w:color w:val="000000"/>
      <w:sz w:val="24"/>
      <w:szCs w:val="24"/>
      <w:u w:val="none"/>
    </w:rPr>
  </w:style>
  <w:style w:type="character" w:customStyle="1" w:styleId="19">
    <w:name w:val="font21"/>
    <w:basedOn w:val="11"/>
    <w:qFormat/>
    <w:uiPriority w:val="0"/>
    <w:rPr>
      <w:rFonts w:hint="eastAsia" w:ascii="宋体" w:hAnsi="宋体" w:eastAsia="宋体" w:cs="宋体"/>
      <w:color w:val="000000"/>
      <w:sz w:val="22"/>
      <w:szCs w:val="22"/>
      <w:u w:val="none"/>
    </w:rPr>
  </w:style>
  <w:style w:type="character" w:customStyle="1" w:styleId="20">
    <w:name w:val="批注框文本 Char Char"/>
    <w:basedOn w:val="11"/>
    <w:link w:val="6"/>
    <w:qFormat/>
    <w:uiPriority w:val="0"/>
    <w:rPr>
      <w:kern w:val="2"/>
      <w:sz w:val="18"/>
      <w:szCs w:val="18"/>
    </w:rPr>
  </w:style>
  <w:style w:type="character" w:customStyle="1" w:styleId="21">
    <w:name w:val="页眉 Char Char"/>
    <w:link w:val="8"/>
    <w:qFormat/>
    <w:uiPriority w:val="0"/>
    <w:rPr>
      <w:kern w:val="2"/>
      <w:sz w:val="18"/>
      <w:szCs w:val="18"/>
    </w:rPr>
  </w:style>
  <w:style w:type="character" w:customStyle="1" w:styleId="22">
    <w:name w:val="font41"/>
    <w:basedOn w:val="11"/>
    <w:qFormat/>
    <w:uiPriority w:val="0"/>
    <w:rPr>
      <w:rFonts w:hint="eastAsia" w:ascii="宋体" w:hAnsi="宋体" w:eastAsia="宋体" w:cs="宋体"/>
      <w:color w:val="000000"/>
      <w:sz w:val="24"/>
      <w:szCs w:val="24"/>
      <w:u w:val="none"/>
    </w:rPr>
  </w:style>
  <w:style w:type="character" w:customStyle="1" w:styleId="23">
    <w:name w:val="font1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 User</Company>
  <Pages>35</Pages>
  <Words>9509</Words>
  <Characters>13554</Characters>
  <Lines>57</Lines>
  <Paragraphs>16</Paragraphs>
  <TotalTime>3</TotalTime>
  <ScaleCrop>false</ScaleCrop>
  <LinksUpToDate>false</LinksUpToDate>
  <CharactersWithSpaces>13828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Administrator</cp:lastModifiedBy>
  <cp:lastPrinted>2021-09-09T07:34:00Z</cp:lastPrinted>
  <dcterms:modified xsi:type="dcterms:W3CDTF">2022-09-15T08:45:06Z</dcterms:modified>
  <dc:title>2020年度</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E53EC0E7302749CA890BFE00D77698F9</vt:lpwstr>
  </property>
</Properties>
</file>