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jc w:val="center"/>
        <w:rPr>
          <w:rFonts w:hint="eastAsia" w:ascii="黑体" w:hAnsi="黑体" w:eastAsia="黑体" w:cs="黑体"/>
          <w:color w:val="auto"/>
          <w:sz w:val="52"/>
          <w:szCs w:val="52"/>
          <w:highlight w:val="none"/>
        </w:rPr>
      </w:pPr>
      <w:r>
        <w:rPr>
          <w:rFonts w:hint="eastAsia" w:ascii="黑体" w:hAnsi="黑体" w:eastAsia="黑体" w:cs="黑体"/>
          <w:color w:val="auto"/>
          <w:sz w:val="52"/>
          <w:szCs w:val="52"/>
          <w:highlight w:val="none"/>
          <w:lang w:eastAsia="zh-CN"/>
        </w:rPr>
        <w:t>20</w:t>
      </w:r>
      <w:r>
        <w:rPr>
          <w:rFonts w:hint="eastAsia" w:ascii="黑体" w:hAnsi="黑体" w:eastAsia="黑体" w:cs="黑体"/>
          <w:color w:val="auto"/>
          <w:sz w:val="52"/>
          <w:szCs w:val="52"/>
          <w:highlight w:val="none"/>
          <w:lang w:val="en-US" w:eastAsia="zh-CN"/>
        </w:rPr>
        <w:t>21</w:t>
      </w:r>
      <w:r>
        <w:rPr>
          <w:rFonts w:hint="eastAsia" w:ascii="黑体" w:hAnsi="黑体" w:eastAsia="黑体" w:cs="黑体"/>
          <w:color w:val="auto"/>
          <w:sz w:val="52"/>
          <w:szCs w:val="52"/>
          <w:highlight w:val="none"/>
          <w:lang w:eastAsia="zh-CN"/>
        </w:rPr>
        <w:t>年度</w:t>
      </w:r>
    </w:p>
    <w:p>
      <w:pPr>
        <w:jc w:val="center"/>
        <w:rPr>
          <w:rFonts w:hint="eastAsia" w:ascii="黑体" w:hAnsi="黑体" w:eastAsia="黑体" w:cs="黑体"/>
          <w:color w:val="auto"/>
          <w:sz w:val="52"/>
          <w:szCs w:val="52"/>
          <w:highlight w:val="none"/>
        </w:rPr>
      </w:pPr>
      <w:r>
        <w:rPr>
          <w:rFonts w:hint="eastAsia" w:ascii="黑体" w:hAnsi="黑体" w:eastAsia="黑体" w:cs="黑体"/>
          <w:color w:val="auto"/>
          <w:sz w:val="52"/>
          <w:szCs w:val="52"/>
          <w:highlight w:val="none"/>
          <w:lang w:val="en-US" w:eastAsia="zh-CN"/>
        </w:rPr>
        <w:t>许昌市建安区</w:t>
      </w:r>
      <w:r>
        <w:rPr>
          <w:rFonts w:hint="eastAsia" w:ascii="黑体" w:hAnsi="黑体" w:eastAsia="黑体" w:cs="黑体"/>
          <w:sz w:val="52"/>
          <w:szCs w:val="52"/>
          <w:highlight w:val="none"/>
          <w:lang w:val="en-US" w:eastAsia="zh-CN"/>
        </w:rPr>
        <w:t>建筑工程标准定额管理站</w:t>
      </w:r>
      <w:r>
        <w:rPr>
          <w:rFonts w:hint="eastAsia" w:ascii="黑体" w:hAnsi="黑体" w:eastAsia="黑体" w:cs="黑体"/>
          <w:color w:val="auto"/>
          <w:sz w:val="52"/>
          <w:szCs w:val="52"/>
          <w:highlight w:val="none"/>
        </w:rPr>
        <w:t>部门决算</w:t>
      </w:r>
    </w:p>
    <w:p>
      <w:pPr>
        <w:jc w:val="center"/>
        <w:rPr>
          <w:rFonts w:hint="eastAsia" w:ascii="黑体" w:hAnsi="黑体" w:eastAsia="黑体" w:cs="黑体"/>
          <w:color w:val="auto"/>
          <w:sz w:val="52"/>
          <w:szCs w:val="52"/>
          <w:highlight w:val="none"/>
        </w:rPr>
      </w:pPr>
    </w:p>
    <w:p>
      <w:pPr>
        <w:jc w:val="center"/>
        <w:rPr>
          <w:rFonts w:hint="eastAsia" w:ascii="黑体" w:hAnsi="黑体" w:eastAsia="黑体" w:cs="黑体"/>
          <w:color w:val="auto"/>
          <w:sz w:val="52"/>
          <w:szCs w:val="52"/>
          <w:highlight w:val="none"/>
        </w:rPr>
      </w:pPr>
    </w:p>
    <w:p>
      <w:pPr>
        <w:jc w:val="center"/>
        <w:rPr>
          <w:rFonts w:hint="eastAsia" w:ascii="黑体" w:hAnsi="黑体" w:eastAsia="黑体" w:cs="黑体"/>
          <w:color w:val="auto"/>
          <w:sz w:val="52"/>
          <w:szCs w:val="52"/>
          <w:highlight w:val="none"/>
        </w:rPr>
      </w:pPr>
    </w:p>
    <w:p>
      <w:pPr>
        <w:jc w:val="center"/>
        <w:rPr>
          <w:rFonts w:hint="eastAsia" w:ascii="黑体" w:hAnsi="黑体" w:eastAsia="黑体" w:cs="黑体"/>
          <w:color w:val="auto"/>
          <w:sz w:val="52"/>
          <w:szCs w:val="52"/>
          <w:highlight w:val="none"/>
        </w:rPr>
      </w:pPr>
    </w:p>
    <w:p>
      <w:pPr>
        <w:jc w:val="center"/>
        <w:rPr>
          <w:rFonts w:hint="eastAsia" w:ascii="黑体" w:hAnsi="黑体" w:eastAsia="黑体" w:cs="黑体"/>
          <w:color w:val="auto"/>
          <w:sz w:val="52"/>
          <w:szCs w:val="52"/>
          <w:highlight w:val="none"/>
        </w:rPr>
      </w:pPr>
    </w:p>
    <w:p>
      <w:pPr>
        <w:jc w:val="center"/>
        <w:rPr>
          <w:rFonts w:hint="eastAsia" w:ascii="黑体" w:hAnsi="黑体" w:eastAsia="黑体" w:cs="黑体"/>
          <w:color w:val="auto"/>
          <w:sz w:val="52"/>
          <w:szCs w:val="52"/>
          <w:highlight w:val="none"/>
        </w:rPr>
      </w:pPr>
    </w:p>
    <w:p>
      <w:pPr>
        <w:jc w:val="center"/>
        <w:rPr>
          <w:rFonts w:hint="eastAsia" w:ascii="黑体" w:hAnsi="黑体" w:eastAsia="黑体" w:cs="黑体"/>
          <w:color w:val="auto"/>
          <w:sz w:val="32"/>
          <w:szCs w:val="32"/>
          <w:highlight w:val="none"/>
          <w:lang w:eastAsia="zh-CN"/>
        </w:rPr>
        <w:sectPr>
          <w:pgSz w:w="11906" w:h="16838"/>
          <w:pgMar w:top="1440" w:right="1531" w:bottom="1440" w:left="1587" w:header="850" w:footer="992" w:gutter="0"/>
          <w:pgNumType w:fmt="numberInDash"/>
          <w:cols w:space="720" w:num="1"/>
          <w:rtlGutter w:val="0"/>
          <w:docGrid w:type="lines" w:linePitch="317" w:charSpace="0"/>
        </w:sectPr>
      </w:pPr>
      <w:r>
        <w:rPr>
          <w:rFonts w:hint="eastAsia" w:ascii="黑体" w:hAnsi="黑体" w:eastAsia="黑体" w:cs="黑体"/>
          <w:color w:val="auto"/>
          <w:sz w:val="32"/>
          <w:szCs w:val="32"/>
          <w:highlight w:val="none"/>
          <w:lang w:eastAsia="zh-CN"/>
        </w:rPr>
        <w:t>二〇</w:t>
      </w:r>
      <w:r>
        <w:rPr>
          <w:rFonts w:hint="eastAsia" w:ascii="黑体" w:hAnsi="黑体" w:eastAsia="黑体" w:cs="黑体"/>
          <w:color w:val="auto"/>
          <w:sz w:val="32"/>
          <w:szCs w:val="32"/>
          <w:highlight w:val="none"/>
          <w:lang w:val="en-US" w:eastAsia="zh-CN"/>
        </w:rPr>
        <w:t>二二</w:t>
      </w:r>
      <w:r>
        <w:rPr>
          <w:rFonts w:hint="eastAsia" w:ascii="黑体" w:hAnsi="黑体" w:eastAsia="黑体" w:cs="黑体"/>
          <w:color w:val="auto"/>
          <w:sz w:val="32"/>
          <w:szCs w:val="32"/>
          <w:highlight w:val="none"/>
          <w:lang w:eastAsia="zh-CN"/>
        </w:rPr>
        <w:t>年</w:t>
      </w:r>
      <w:r>
        <w:rPr>
          <w:rFonts w:hint="eastAsia" w:ascii="黑体" w:hAnsi="黑体" w:eastAsia="黑体" w:cs="黑体"/>
          <w:color w:val="auto"/>
          <w:sz w:val="32"/>
          <w:szCs w:val="32"/>
          <w:highlight w:val="none"/>
          <w:lang w:val="en-US" w:eastAsia="zh-CN"/>
        </w:rPr>
        <w:t>九</w:t>
      </w:r>
      <w:r>
        <w:rPr>
          <w:rFonts w:hint="eastAsia" w:ascii="黑体" w:hAnsi="黑体" w:eastAsia="黑体" w:cs="黑体"/>
          <w:color w:val="auto"/>
          <w:sz w:val="32"/>
          <w:szCs w:val="32"/>
          <w:highlight w:val="none"/>
          <w:lang w:eastAsia="zh-CN"/>
        </w:rPr>
        <w:t>月</w:t>
      </w:r>
    </w:p>
    <w:p>
      <w:pPr>
        <w:jc w:val="center"/>
        <w:rPr>
          <w:rFonts w:ascii="黑体" w:hAnsi="黑体" w:eastAsia="黑体" w:cs="黑体"/>
          <w:color w:val="auto"/>
          <w:sz w:val="36"/>
          <w:szCs w:val="36"/>
          <w:highlight w:val="none"/>
        </w:rPr>
      </w:pPr>
      <w:r>
        <w:rPr>
          <w:rFonts w:hint="eastAsia" w:ascii="黑体" w:hAnsi="黑体" w:eastAsia="黑体" w:cs="黑体"/>
          <w:color w:val="auto"/>
          <w:sz w:val="36"/>
          <w:szCs w:val="36"/>
          <w:highlight w:val="none"/>
        </w:rPr>
        <w:t>目　　录</w:t>
      </w:r>
    </w:p>
    <w:p>
      <w:pPr>
        <w:jc w:val="left"/>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第一部分　　</w:t>
      </w:r>
      <w:r>
        <w:rPr>
          <w:rFonts w:hint="eastAsia" w:ascii="黑体" w:hAnsi="黑体" w:eastAsia="黑体" w:cs="黑体"/>
          <w:color w:val="auto"/>
          <w:sz w:val="32"/>
          <w:szCs w:val="32"/>
          <w:highlight w:val="none"/>
          <w:lang w:val="en-US" w:eastAsia="zh-CN"/>
        </w:rPr>
        <w:t>许昌市建安区建筑工程标准定额管理站</w:t>
      </w:r>
      <w:r>
        <w:rPr>
          <w:rFonts w:hint="eastAsia" w:ascii="黑体" w:hAnsi="黑体" w:eastAsia="黑体" w:cs="黑体"/>
          <w:color w:val="auto"/>
          <w:sz w:val="32"/>
          <w:szCs w:val="32"/>
          <w:highlight w:val="none"/>
        </w:rPr>
        <w:t>概况</w:t>
      </w:r>
    </w:p>
    <w:p>
      <w:pPr>
        <w:numPr>
          <w:ilvl w:val="0"/>
          <w:numId w:val="1"/>
        </w:numPr>
        <w:ind w:firstLine="640" w:firstLineChars="200"/>
        <w:jc w:val="left"/>
        <w:rPr>
          <w:rFonts w:ascii="宋体" w:hAnsi="宋体" w:eastAsia="宋体" w:cs="宋体"/>
          <w:color w:val="auto"/>
          <w:sz w:val="32"/>
          <w:szCs w:val="32"/>
          <w:highlight w:val="none"/>
        </w:rPr>
      </w:pPr>
      <w:r>
        <w:rPr>
          <w:rFonts w:hint="eastAsia" w:ascii="宋体" w:hAnsi="宋体" w:eastAsia="宋体" w:cs="宋体"/>
          <w:color w:val="auto"/>
          <w:sz w:val="32"/>
          <w:szCs w:val="32"/>
          <w:highlight w:val="none"/>
          <w:lang w:eastAsia="zh-CN"/>
        </w:rPr>
        <w:t>部门职责</w:t>
      </w:r>
    </w:p>
    <w:p>
      <w:pPr>
        <w:numPr>
          <w:ilvl w:val="0"/>
          <w:numId w:val="1"/>
        </w:numPr>
        <w:ind w:firstLine="640" w:firstLineChars="200"/>
        <w:jc w:val="left"/>
        <w:rPr>
          <w:rFonts w:ascii="宋体" w:hAnsi="宋体" w:eastAsia="宋体" w:cs="宋体"/>
          <w:color w:val="auto"/>
          <w:sz w:val="32"/>
          <w:szCs w:val="32"/>
          <w:highlight w:val="none"/>
        </w:rPr>
      </w:pPr>
      <w:r>
        <w:rPr>
          <w:rFonts w:hint="eastAsia" w:ascii="宋体" w:hAnsi="宋体" w:eastAsia="宋体" w:cs="宋体"/>
          <w:color w:val="auto"/>
          <w:sz w:val="32"/>
          <w:szCs w:val="32"/>
          <w:highlight w:val="none"/>
          <w:lang w:eastAsia="zh-CN"/>
        </w:rPr>
        <w:t>机构设置</w:t>
      </w:r>
    </w:p>
    <w:p>
      <w:pPr>
        <w:jc w:val="left"/>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w:t>
      </w:r>
      <w:r>
        <w:rPr>
          <w:rFonts w:hint="eastAsia" w:ascii="黑体" w:hAnsi="黑体" w:eastAsia="黑体" w:cs="黑体"/>
          <w:color w:val="auto"/>
          <w:sz w:val="32"/>
          <w:szCs w:val="32"/>
          <w:highlight w:val="none"/>
          <w:lang w:eastAsia="zh-CN"/>
        </w:rPr>
        <w:t>二</w:t>
      </w:r>
      <w:r>
        <w:rPr>
          <w:rFonts w:hint="eastAsia" w:ascii="黑体" w:hAnsi="黑体" w:eastAsia="黑体" w:cs="黑体"/>
          <w:color w:val="auto"/>
          <w:sz w:val="32"/>
          <w:szCs w:val="32"/>
          <w:highlight w:val="none"/>
        </w:rPr>
        <w:t>部分　　</w:t>
      </w:r>
      <w:r>
        <w:rPr>
          <w:rFonts w:hint="eastAsia" w:ascii="黑体" w:hAnsi="黑体" w:eastAsia="黑体" w:cs="黑体"/>
          <w:color w:val="auto"/>
          <w:sz w:val="32"/>
          <w:szCs w:val="32"/>
          <w:highlight w:val="none"/>
          <w:lang w:eastAsia="zh-CN"/>
        </w:rPr>
        <w:t>20</w:t>
      </w:r>
      <w:r>
        <w:rPr>
          <w:rFonts w:hint="eastAsia" w:ascii="黑体" w:hAnsi="黑体" w:eastAsia="黑体" w:cs="黑体"/>
          <w:color w:val="auto"/>
          <w:sz w:val="32"/>
          <w:szCs w:val="32"/>
          <w:highlight w:val="none"/>
          <w:lang w:val="en-US" w:eastAsia="zh-CN"/>
        </w:rPr>
        <w:t>21</w:t>
      </w:r>
      <w:r>
        <w:rPr>
          <w:rFonts w:hint="eastAsia" w:ascii="黑体" w:hAnsi="黑体" w:eastAsia="黑体" w:cs="黑体"/>
          <w:color w:val="auto"/>
          <w:sz w:val="32"/>
          <w:szCs w:val="32"/>
          <w:highlight w:val="none"/>
          <w:lang w:eastAsia="zh-CN"/>
        </w:rPr>
        <w:t>年度</w:t>
      </w:r>
      <w:r>
        <w:rPr>
          <w:rFonts w:hint="eastAsia" w:ascii="黑体" w:hAnsi="黑体" w:eastAsia="黑体" w:cs="黑体"/>
          <w:color w:val="auto"/>
          <w:sz w:val="32"/>
          <w:szCs w:val="32"/>
          <w:highlight w:val="none"/>
        </w:rPr>
        <w:t>部门决算表</w:t>
      </w:r>
    </w:p>
    <w:p>
      <w:pPr>
        <w:ind w:firstLine="640" w:firstLineChars="200"/>
        <w:jc w:val="left"/>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一、收入支出决算总表</w:t>
      </w:r>
    </w:p>
    <w:p>
      <w:pPr>
        <w:ind w:firstLine="640" w:firstLineChars="200"/>
        <w:jc w:val="left"/>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二、收入决算表</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三、支出决算表</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四、财政拨款收入支出决算总表</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五、一般公共预算财政拨款支出决算表</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六、一般公共预算财政拨款基本支出决算表</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七、一般公共预算财政拨款“三公”经费支出决算表</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八、政府性基金预算财政拨款收入支出决算表</w:t>
      </w:r>
    </w:p>
    <w:p>
      <w:pPr>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第</w:t>
      </w:r>
      <w:r>
        <w:rPr>
          <w:rFonts w:hint="eastAsia" w:ascii="黑体" w:hAnsi="黑体" w:eastAsia="黑体" w:cs="黑体"/>
          <w:color w:val="auto"/>
          <w:sz w:val="32"/>
          <w:szCs w:val="32"/>
          <w:highlight w:val="none"/>
          <w:lang w:eastAsia="zh-CN"/>
        </w:rPr>
        <w:t>三</w:t>
      </w:r>
      <w:r>
        <w:rPr>
          <w:rFonts w:hint="eastAsia" w:ascii="黑体" w:hAnsi="黑体" w:eastAsia="黑体" w:cs="黑体"/>
          <w:color w:val="auto"/>
          <w:sz w:val="32"/>
          <w:szCs w:val="32"/>
          <w:highlight w:val="none"/>
        </w:rPr>
        <w:t>部分　　</w:t>
      </w:r>
      <w:r>
        <w:rPr>
          <w:rFonts w:hint="eastAsia" w:ascii="黑体" w:hAnsi="黑体" w:eastAsia="黑体" w:cs="黑体"/>
          <w:color w:val="auto"/>
          <w:sz w:val="32"/>
          <w:szCs w:val="32"/>
          <w:highlight w:val="none"/>
          <w:lang w:eastAsia="zh-CN"/>
        </w:rPr>
        <w:t>20</w:t>
      </w:r>
      <w:r>
        <w:rPr>
          <w:rFonts w:hint="eastAsia" w:ascii="黑体" w:hAnsi="黑体" w:eastAsia="黑体" w:cs="黑体"/>
          <w:color w:val="auto"/>
          <w:sz w:val="32"/>
          <w:szCs w:val="32"/>
          <w:highlight w:val="none"/>
          <w:lang w:val="en-US" w:eastAsia="zh-CN"/>
        </w:rPr>
        <w:t>21</w:t>
      </w:r>
      <w:r>
        <w:rPr>
          <w:rFonts w:hint="eastAsia" w:ascii="黑体" w:hAnsi="黑体" w:eastAsia="黑体" w:cs="黑体"/>
          <w:color w:val="auto"/>
          <w:sz w:val="32"/>
          <w:szCs w:val="32"/>
          <w:highlight w:val="none"/>
          <w:lang w:eastAsia="zh-CN"/>
        </w:rPr>
        <w:t>年度</w:t>
      </w:r>
      <w:r>
        <w:rPr>
          <w:rFonts w:hint="eastAsia" w:ascii="黑体" w:hAnsi="黑体" w:eastAsia="黑体" w:cs="黑体"/>
          <w:color w:val="auto"/>
          <w:sz w:val="32"/>
          <w:szCs w:val="32"/>
          <w:highlight w:val="none"/>
        </w:rPr>
        <w:t>部门决算情况说明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一、收入支出决算总体情况说明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二、收入决算情况说明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三、支出决算情况说明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四、财政拨款收入支出决算总体情况说明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五、一般公共预算财政拨款支出决算情况说明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六、一般公共预算财政拨款基本支出决算情况说明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七、一般公共预算财政拨款“三公”经费支出决算情况说明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八、预算绩效情况说明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九、政府性基金预算财政拨款支出决算情况说明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十、机关运行经费支出情况</w:t>
      </w:r>
      <w:r>
        <w:rPr>
          <w:rFonts w:hint="eastAsia" w:ascii="宋体" w:hAnsi="宋体" w:eastAsia="宋体" w:cs="宋体"/>
          <w:color w:val="auto"/>
          <w:sz w:val="32"/>
          <w:szCs w:val="32"/>
          <w:highlight w:val="none"/>
          <w:lang w:eastAsia="zh-CN"/>
        </w:rPr>
        <w:t>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lang w:eastAsia="zh-CN"/>
        </w:rPr>
        <w:t>十一、</w:t>
      </w:r>
      <w:r>
        <w:rPr>
          <w:rFonts w:hint="eastAsia" w:ascii="宋体" w:hAnsi="宋体" w:eastAsia="宋体" w:cs="宋体"/>
          <w:color w:val="auto"/>
          <w:sz w:val="32"/>
          <w:szCs w:val="32"/>
          <w:highlight w:val="none"/>
        </w:rPr>
        <w:t>政府采购支出情况</w:t>
      </w:r>
      <w:r>
        <w:rPr>
          <w:rFonts w:hint="eastAsia" w:ascii="宋体" w:hAnsi="宋体" w:eastAsia="宋体" w:cs="宋体"/>
          <w:color w:val="auto"/>
          <w:sz w:val="32"/>
          <w:szCs w:val="32"/>
          <w:highlight w:val="none"/>
          <w:lang w:eastAsia="zh-CN"/>
        </w:rPr>
        <w:t>说明</w:t>
      </w:r>
    </w:p>
    <w:p>
      <w:pPr>
        <w:ind w:firstLine="640" w:firstLineChars="200"/>
        <w:jc w:val="left"/>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十二、国有资产占用情况说明</w:t>
      </w:r>
    </w:p>
    <w:p>
      <w:pPr>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第</w:t>
      </w:r>
      <w:r>
        <w:rPr>
          <w:rFonts w:hint="eastAsia" w:ascii="黑体" w:hAnsi="黑体" w:eastAsia="黑体" w:cs="黑体"/>
          <w:color w:val="auto"/>
          <w:sz w:val="32"/>
          <w:szCs w:val="32"/>
          <w:highlight w:val="none"/>
          <w:lang w:eastAsia="zh-CN"/>
        </w:rPr>
        <w:t>四</w:t>
      </w:r>
      <w:r>
        <w:rPr>
          <w:rFonts w:hint="eastAsia" w:ascii="黑体" w:hAnsi="黑体" w:eastAsia="黑体" w:cs="黑体"/>
          <w:color w:val="auto"/>
          <w:sz w:val="32"/>
          <w:szCs w:val="32"/>
          <w:highlight w:val="none"/>
        </w:rPr>
        <w:t>部分　　名词解释</w:t>
      </w:r>
    </w:p>
    <w:p>
      <w:pPr>
        <w:ind w:firstLine="640" w:firstLineChars="200"/>
        <w:jc w:val="left"/>
        <w:rPr>
          <w:rFonts w:ascii="宋体" w:hAnsi="宋体" w:eastAsia="宋体" w:cs="宋体"/>
          <w:color w:val="auto"/>
          <w:sz w:val="32"/>
          <w:szCs w:val="32"/>
          <w:highlight w:val="none"/>
        </w:rPr>
      </w:pPr>
    </w:p>
    <w:p>
      <w:pPr>
        <w:jc w:val="left"/>
        <w:rPr>
          <w:rFonts w:hint="eastAsia" w:ascii="黑体" w:hAnsi="黑体" w:eastAsia="黑体" w:cs="黑体"/>
          <w:color w:val="auto"/>
          <w:sz w:val="32"/>
          <w:szCs w:val="32"/>
          <w:highlight w:val="none"/>
        </w:rPr>
        <w:sectPr>
          <w:footerReference r:id="rId3" w:type="default"/>
          <w:footerReference r:id="rId4" w:type="even"/>
          <w:pgSz w:w="11906" w:h="16838"/>
          <w:pgMar w:top="1440" w:right="1531" w:bottom="1440" w:left="1587" w:header="850" w:footer="992" w:gutter="0"/>
          <w:pgNumType w:fmt="numberInDash" w:start="1"/>
          <w:cols w:space="720" w:num="1"/>
          <w:rtlGutter w:val="0"/>
          <w:docGrid w:type="lines" w:linePitch="317" w:charSpace="0"/>
        </w:sect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center"/>
        <w:outlineLvl w:val="0"/>
        <w:rPr>
          <w:rFonts w:hint="eastAsia" w:ascii="黑体" w:hAnsi="宋体" w:eastAsia="黑体" w:cs="宋体"/>
          <w:color w:val="auto"/>
          <w:kern w:val="0"/>
          <w:sz w:val="28"/>
          <w:szCs w:val="28"/>
          <w:highlight w:val="none"/>
          <w:lang w:val="en-US" w:eastAsia="zh-CN"/>
        </w:rPr>
      </w:pPr>
      <w:r>
        <w:rPr>
          <w:rFonts w:hint="eastAsia" w:ascii="黑体" w:hAnsi="黑体" w:eastAsia="黑体" w:cs="黑体"/>
          <w:color w:val="auto"/>
          <w:sz w:val="48"/>
          <w:szCs w:val="48"/>
          <w:highlight w:val="none"/>
        </w:rPr>
        <w:t>第一部分</w:t>
      </w:r>
      <w:r>
        <w:rPr>
          <w:rFonts w:hint="eastAsia" w:ascii="黑体" w:hAnsi="黑体" w:eastAsia="黑体" w:cs="黑体"/>
          <w:color w:val="auto"/>
          <w:sz w:val="48"/>
          <w:szCs w:val="48"/>
          <w:highlight w:val="none"/>
          <w:lang w:val="en-US" w:eastAsia="zh-CN"/>
        </w:rPr>
        <w:t xml:space="preserve">  许昌市建安区建筑工程标准定额管理站</w:t>
      </w:r>
      <w:r>
        <w:rPr>
          <w:rFonts w:hint="eastAsia" w:ascii="黑体" w:hAnsi="黑体" w:eastAsia="黑体" w:cs="黑体"/>
          <w:color w:val="auto"/>
          <w:sz w:val="48"/>
          <w:szCs w:val="48"/>
          <w:highlight w:val="none"/>
        </w:rPr>
        <w:t>概况</w:t>
      </w: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sectPr>
          <w:pgSz w:w="11906" w:h="16838"/>
          <w:pgMar w:top="1440" w:right="1800" w:bottom="1440" w:left="1800" w:header="720" w:footer="720" w:gutter="0"/>
          <w:pgNumType w:fmt="numberInDash"/>
          <w:cols w:space="720" w:num="1"/>
          <w:docGrid w:type="lines" w:linePitch="312" w:charSpace="0"/>
        </w:sectPr>
      </w:pPr>
    </w:p>
    <w:p>
      <w:pPr>
        <w:widowControl/>
        <w:ind w:firstLine="640" w:firstLineChars="200"/>
        <w:jc w:val="left"/>
        <w:outlineLvl w:val="1"/>
        <w:rPr>
          <w:rFonts w:hint="eastAsia" w:ascii="黑体" w:hAnsi="黑体" w:eastAsia="黑体" w:cs="黑体"/>
          <w:color w:val="auto"/>
          <w:kern w:val="0"/>
          <w:sz w:val="32"/>
          <w:szCs w:val="32"/>
          <w:highlight w:val="none"/>
          <w:lang w:val="en-US" w:eastAsia="zh-CN"/>
        </w:rPr>
      </w:pPr>
      <w:r>
        <w:rPr>
          <w:rFonts w:hint="eastAsia" w:ascii="黑体" w:hAnsi="黑体" w:eastAsia="黑体" w:cs="黑体"/>
          <w:color w:val="auto"/>
          <w:kern w:val="0"/>
          <w:sz w:val="32"/>
          <w:szCs w:val="32"/>
          <w:highlight w:val="none"/>
          <w:lang w:val="en-US" w:eastAsia="zh-CN"/>
        </w:rPr>
        <w:t>一、部门</w:t>
      </w:r>
      <w:r>
        <w:rPr>
          <w:rFonts w:hint="eastAsia" w:ascii="黑体" w:hAnsi="黑体" w:eastAsia="黑体" w:cs="黑体"/>
          <w:bCs/>
          <w:sz w:val="32"/>
          <w:szCs w:val="32"/>
          <w:highlight w:val="none"/>
        </w:rPr>
        <w:t>职责</w:t>
      </w:r>
    </w:p>
    <w:p>
      <w:pPr>
        <w:widowControl/>
        <w:ind w:firstLine="640" w:firstLineChars="200"/>
        <w:jc w:val="left"/>
        <w:outlineLvl w:val="1"/>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许昌市建安区建筑工程标准定额管理站</w:t>
      </w:r>
      <w:r>
        <w:rPr>
          <w:rFonts w:hint="eastAsia" w:ascii="仿宋" w:hAnsi="仿宋" w:eastAsia="仿宋" w:cs="仿宋"/>
          <w:sz w:val="32"/>
          <w:szCs w:val="32"/>
          <w:highlight w:val="none"/>
        </w:rPr>
        <w:t>成立于1988年，股级规格，无内设机构，主要职责是承担我区工程建设标准定额行政管理和工程造价管理职能的事业单位。主要负责贯彻执行国家、省、市工程标准定额、工程材料预（结）算价的测定、工程造价指数、地区材料价差调整系数的发布和解释及制定工程造价管理制度监督执行情况和调节。</w:t>
      </w:r>
    </w:p>
    <w:p>
      <w:pPr>
        <w:widowControl/>
        <w:ind w:firstLine="640" w:firstLineChars="200"/>
        <w:jc w:val="left"/>
        <w:outlineLvl w:val="1"/>
        <w:rPr>
          <w:rFonts w:hint="eastAsia" w:ascii="黑体" w:hAnsi="黑体" w:eastAsia="黑体" w:cs="黑体"/>
          <w:color w:val="auto"/>
          <w:kern w:val="0"/>
          <w:sz w:val="32"/>
          <w:szCs w:val="32"/>
          <w:highlight w:val="none"/>
          <w:lang w:val="en-US" w:eastAsia="zh-CN"/>
        </w:rPr>
      </w:pPr>
      <w:r>
        <w:rPr>
          <w:rFonts w:hint="eastAsia" w:ascii="黑体" w:hAnsi="黑体" w:eastAsia="黑体" w:cs="黑体"/>
          <w:color w:val="auto"/>
          <w:kern w:val="0"/>
          <w:sz w:val="32"/>
          <w:szCs w:val="32"/>
          <w:highlight w:val="none"/>
          <w:lang w:val="en-US" w:eastAsia="zh-CN"/>
        </w:rPr>
        <w:t>二、机构设置</w:t>
      </w:r>
    </w:p>
    <w:p>
      <w:pPr>
        <w:widowControl/>
        <w:ind w:firstLine="640" w:firstLineChars="200"/>
        <w:jc w:val="left"/>
        <w:rPr>
          <w:rFonts w:hint="eastAsia" w:ascii="仿宋_GB2312" w:hAnsi="仿宋_GB2312" w:eastAsia="仿宋_GB2312" w:cs="仿宋_GB2312"/>
          <w:color w:val="auto"/>
          <w:kern w:val="0"/>
          <w:sz w:val="32"/>
          <w:szCs w:val="32"/>
          <w:highlight w:val="none"/>
          <w:lang w:val="en-US" w:eastAsia="zh-CN"/>
        </w:rPr>
      </w:pPr>
      <w:r>
        <w:rPr>
          <w:rFonts w:hint="eastAsia" w:ascii="仿宋" w:hAnsi="仿宋" w:eastAsia="仿宋" w:cs="仿宋"/>
          <w:sz w:val="32"/>
          <w:szCs w:val="32"/>
          <w:highlight w:val="none"/>
          <w:lang w:val="en-US" w:eastAsia="zh-CN"/>
        </w:rPr>
        <w:t>许昌市建安区建筑工程标准定额管理站</w:t>
      </w:r>
      <w:r>
        <w:rPr>
          <w:rFonts w:hint="eastAsia" w:ascii="仿宋_GB2312" w:hAnsi="仿宋_GB2312" w:eastAsia="仿宋_GB2312" w:cs="仿宋_GB2312"/>
          <w:color w:val="auto"/>
          <w:kern w:val="0"/>
          <w:sz w:val="32"/>
          <w:szCs w:val="32"/>
          <w:highlight w:val="none"/>
          <w:lang w:val="en-US" w:eastAsia="zh-CN"/>
        </w:rPr>
        <w:t>无内设机构。</w:t>
      </w:r>
    </w:p>
    <w:p>
      <w:pPr>
        <w:widowControl/>
        <w:ind w:firstLine="640" w:firstLineChars="200"/>
        <w:jc w:val="left"/>
        <w:rPr>
          <w:rFonts w:hint="eastAsia" w:ascii="仿宋" w:hAnsi="仿宋" w:eastAsia="仿宋" w:cs="仿宋"/>
          <w:b w:val="0"/>
          <w:bCs w:val="0"/>
          <w:kern w:val="2"/>
          <w:sz w:val="32"/>
          <w:szCs w:val="32"/>
          <w:highlight w:val="none"/>
          <w:lang w:val="en-US" w:eastAsia="zh-CN" w:bidi="ar-SA"/>
        </w:rPr>
      </w:pPr>
      <w:r>
        <w:rPr>
          <w:rFonts w:hint="eastAsia" w:ascii="仿宋" w:hAnsi="仿宋" w:eastAsia="仿宋" w:cs="仿宋"/>
          <w:b w:val="0"/>
          <w:bCs w:val="0"/>
          <w:kern w:val="2"/>
          <w:sz w:val="32"/>
          <w:szCs w:val="32"/>
          <w:highlight w:val="none"/>
          <w:lang w:val="en-US" w:eastAsia="zh-CN" w:bidi="ar-SA"/>
        </w:rPr>
        <w:t>从决算单位构成看，</w:t>
      </w:r>
      <w:r>
        <w:rPr>
          <w:rFonts w:hint="eastAsia" w:ascii="仿宋" w:hAnsi="仿宋" w:eastAsia="仿宋" w:cs="仿宋"/>
          <w:sz w:val="32"/>
          <w:szCs w:val="32"/>
          <w:highlight w:val="none"/>
          <w:lang w:val="en-US" w:eastAsia="zh-CN"/>
        </w:rPr>
        <w:t>许昌市建安区建筑工程标准定额管理站</w:t>
      </w:r>
      <w:r>
        <w:rPr>
          <w:rFonts w:hint="eastAsia" w:ascii="仿宋" w:hAnsi="仿宋" w:eastAsia="仿宋" w:cs="仿宋"/>
          <w:b w:val="0"/>
          <w:bCs w:val="0"/>
          <w:kern w:val="2"/>
          <w:sz w:val="32"/>
          <w:szCs w:val="32"/>
          <w:highlight w:val="none"/>
          <w:lang w:val="en-US" w:eastAsia="zh-CN" w:bidi="ar-SA"/>
        </w:rPr>
        <w:t>部门决算包括本级决算。</w:t>
      </w: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jc w:val="center"/>
        <w:outlineLvl w:val="0"/>
        <w:rPr>
          <w:rFonts w:hint="eastAsia" w:ascii="黑体" w:hAnsi="黑体" w:eastAsia="黑体" w:cs="黑体"/>
          <w:color w:val="auto"/>
          <w:sz w:val="48"/>
          <w:szCs w:val="48"/>
          <w:highlight w:val="none"/>
        </w:rPr>
      </w:pPr>
    </w:p>
    <w:p>
      <w:pPr>
        <w:jc w:val="center"/>
        <w:outlineLvl w:val="0"/>
        <w:rPr>
          <w:rFonts w:hint="eastAsia" w:ascii="黑体" w:hAnsi="黑体" w:eastAsia="黑体" w:cs="黑体"/>
          <w:color w:val="auto"/>
          <w:sz w:val="48"/>
          <w:szCs w:val="48"/>
          <w:highlight w:val="none"/>
        </w:rPr>
      </w:pPr>
    </w:p>
    <w:p>
      <w:pPr>
        <w:jc w:val="center"/>
        <w:outlineLvl w:val="0"/>
        <w:rPr>
          <w:rFonts w:hint="eastAsia" w:ascii="黑体" w:hAnsi="黑体" w:eastAsia="黑体" w:cs="黑体"/>
          <w:color w:val="auto"/>
          <w:sz w:val="48"/>
          <w:szCs w:val="48"/>
          <w:highlight w:val="none"/>
        </w:rPr>
      </w:pPr>
    </w:p>
    <w:p>
      <w:pPr>
        <w:jc w:val="center"/>
        <w:outlineLvl w:val="0"/>
        <w:rPr>
          <w:rFonts w:hint="eastAsia" w:ascii="黑体" w:hAnsi="黑体" w:eastAsia="黑体" w:cs="黑体"/>
          <w:color w:val="auto"/>
          <w:sz w:val="48"/>
          <w:szCs w:val="48"/>
          <w:highlight w:val="none"/>
        </w:rPr>
      </w:pPr>
    </w:p>
    <w:p>
      <w:pPr>
        <w:jc w:val="center"/>
        <w:outlineLvl w:val="0"/>
        <w:rPr>
          <w:rFonts w:hint="eastAsia" w:ascii="黑体" w:hAnsi="黑体" w:eastAsia="黑体" w:cs="黑体"/>
          <w:color w:val="auto"/>
          <w:sz w:val="48"/>
          <w:szCs w:val="48"/>
          <w:highlight w:val="none"/>
        </w:rPr>
      </w:pPr>
    </w:p>
    <w:p>
      <w:pPr>
        <w:jc w:val="center"/>
        <w:outlineLvl w:val="0"/>
        <w:rPr>
          <w:rFonts w:hint="eastAsia" w:ascii="黑体" w:hAnsi="黑体" w:eastAsia="黑体" w:cs="黑体"/>
          <w:color w:val="auto"/>
          <w:sz w:val="48"/>
          <w:szCs w:val="48"/>
          <w:highlight w:val="none"/>
        </w:rPr>
      </w:pPr>
    </w:p>
    <w:p>
      <w:pPr>
        <w:ind w:firstLine="960" w:firstLineChars="200"/>
        <w:jc w:val="both"/>
        <w:outlineLvl w:val="0"/>
        <w:rPr>
          <w:rFonts w:hint="eastAsia" w:ascii="黑体" w:hAnsi="黑体" w:eastAsia="黑体" w:cs="黑体"/>
          <w:color w:val="auto"/>
          <w:sz w:val="48"/>
          <w:szCs w:val="48"/>
          <w:highlight w:val="none"/>
        </w:rPr>
      </w:pPr>
      <w:r>
        <w:rPr>
          <w:rFonts w:hint="eastAsia" w:ascii="黑体" w:hAnsi="黑体" w:eastAsia="黑体" w:cs="黑体"/>
          <w:color w:val="auto"/>
          <w:sz w:val="48"/>
          <w:szCs w:val="48"/>
          <w:highlight w:val="none"/>
        </w:rPr>
        <w:t>第</w:t>
      </w:r>
      <w:r>
        <w:rPr>
          <w:rFonts w:hint="eastAsia" w:ascii="黑体" w:hAnsi="黑体" w:eastAsia="黑体" w:cs="黑体"/>
          <w:color w:val="auto"/>
          <w:sz w:val="48"/>
          <w:szCs w:val="48"/>
          <w:highlight w:val="none"/>
          <w:lang w:eastAsia="zh-CN"/>
        </w:rPr>
        <w:t>二</w:t>
      </w:r>
      <w:r>
        <w:rPr>
          <w:rFonts w:hint="eastAsia" w:ascii="黑体" w:hAnsi="黑体" w:eastAsia="黑体" w:cs="黑体"/>
          <w:color w:val="auto"/>
          <w:sz w:val="48"/>
          <w:szCs w:val="48"/>
          <w:highlight w:val="none"/>
        </w:rPr>
        <w:t>部分</w:t>
      </w:r>
      <w:r>
        <w:rPr>
          <w:rFonts w:hint="eastAsia" w:ascii="黑体" w:hAnsi="黑体" w:eastAsia="黑体" w:cs="黑体"/>
          <w:color w:val="auto"/>
          <w:sz w:val="48"/>
          <w:szCs w:val="48"/>
          <w:highlight w:val="none"/>
          <w:lang w:val="en-US" w:eastAsia="zh-CN"/>
        </w:rPr>
        <w:t xml:space="preserve">  </w:t>
      </w:r>
      <w:r>
        <w:rPr>
          <w:rFonts w:hint="eastAsia" w:ascii="黑体" w:hAnsi="黑体" w:eastAsia="黑体" w:cs="黑体"/>
          <w:color w:val="auto"/>
          <w:sz w:val="48"/>
          <w:szCs w:val="48"/>
          <w:highlight w:val="none"/>
          <w:lang w:eastAsia="zh-CN"/>
        </w:rPr>
        <w:t>20</w:t>
      </w:r>
      <w:r>
        <w:rPr>
          <w:rFonts w:hint="eastAsia" w:ascii="黑体" w:hAnsi="黑体" w:eastAsia="黑体" w:cs="黑体"/>
          <w:color w:val="auto"/>
          <w:sz w:val="48"/>
          <w:szCs w:val="48"/>
          <w:highlight w:val="none"/>
          <w:lang w:val="en-US" w:eastAsia="zh-CN"/>
        </w:rPr>
        <w:t>21</w:t>
      </w:r>
      <w:r>
        <w:rPr>
          <w:rFonts w:hint="eastAsia" w:ascii="黑体" w:hAnsi="黑体" w:eastAsia="黑体" w:cs="黑体"/>
          <w:color w:val="auto"/>
          <w:sz w:val="48"/>
          <w:szCs w:val="48"/>
          <w:highlight w:val="none"/>
          <w:lang w:eastAsia="zh-CN"/>
        </w:rPr>
        <w:t>年度</w:t>
      </w:r>
      <w:r>
        <w:rPr>
          <w:rFonts w:hint="eastAsia" w:ascii="黑体" w:hAnsi="黑体" w:eastAsia="黑体" w:cs="黑体"/>
          <w:color w:val="auto"/>
          <w:sz w:val="48"/>
          <w:szCs w:val="48"/>
          <w:highlight w:val="none"/>
        </w:rPr>
        <w:t>部门决算表</w:t>
      </w: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sectPr>
          <w:pgSz w:w="11906" w:h="16838"/>
          <w:pgMar w:top="1440" w:right="1800" w:bottom="1440" w:left="1800" w:header="720" w:footer="720" w:gutter="0"/>
          <w:pgNumType w:fmt="numberInDash"/>
          <w:cols w:space="720" w:num="1"/>
          <w:docGrid w:type="lines" w:linePitch="312" w:charSpace="0"/>
        </w:sectPr>
      </w:pP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279"/>
        <w:gridCol w:w="825"/>
        <w:gridCol w:w="1764"/>
        <w:gridCol w:w="4671"/>
        <w:gridCol w:w="750"/>
        <w:gridCol w:w="16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13988" w:type="dxa"/>
            <w:gridSpan w:val="6"/>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highlight w:val="none"/>
                <w:u w:val="none"/>
              </w:rPr>
            </w:pPr>
            <w:r>
              <w:rPr>
                <w:rFonts w:hint="eastAsia" w:ascii="华文中宋" w:hAnsi="华文中宋" w:eastAsia="华文中宋" w:cs="华文中宋"/>
                <w:i w:val="0"/>
                <w:color w:val="000000"/>
                <w:kern w:val="0"/>
                <w:sz w:val="32"/>
                <w:szCs w:val="32"/>
                <w:highlight w:val="none"/>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9" w:hRule="atLeast"/>
        </w:trPr>
        <w:tc>
          <w:tcPr>
            <w:tcW w:w="4279" w:type="dxa"/>
            <w:tcBorders>
              <w:top w:val="nil"/>
              <w:left w:val="nil"/>
              <w:bottom w:val="nil"/>
              <w:right w:val="nil"/>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825" w:type="dxa"/>
            <w:tcBorders>
              <w:top w:val="nil"/>
              <w:left w:val="nil"/>
              <w:bottom w:val="nil"/>
              <w:right w:val="nil"/>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764" w:type="dxa"/>
            <w:tcBorders>
              <w:top w:val="nil"/>
              <w:left w:val="nil"/>
              <w:bottom w:val="nil"/>
              <w:right w:val="nil"/>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4671" w:type="dxa"/>
            <w:tcBorders>
              <w:top w:val="nil"/>
              <w:left w:val="nil"/>
              <w:bottom w:val="nil"/>
              <w:right w:val="nil"/>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750" w:type="dxa"/>
            <w:tcBorders>
              <w:top w:val="nil"/>
              <w:left w:val="nil"/>
              <w:bottom w:val="nil"/>
              <w:right w:val="nil"/>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699" w:type="dxa"/>
            <w:tcBorders>
              <w:top w:val="nil"/>
              <w:left w:val="nil"/>
              <w:bottom w:val="nil"/>
              <w:right w:val="nil"/>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4279" w:type="dxa"/>
            <w:tcBorders>
              <w:top w:val="nil"/>
              <w:left w:val="nil"/>
              <w:bottom w:val="nil"/>
              <w:right w:val="nil"/>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部门：许昌市建安区建筑工程标准定额管理站</w:t>
            </w:r>
          </w:p>
        </w:tc>
        <w:tc>
          <w:tcPr>
            <w:tcW w:w="825" w:type="dxa"/>
            <w:tcBorders>
              <w:top w:val="nil"/>
              <w:left w:val="nil"/>
              <w:bottom w:val="nil"/>
              <w:right w:val="nil"/>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764" w:type="dxa"/>
            <w:tcBorders>
              <w:top w:val="nil"/>
              <w:left w:val="nil"/>
              <w:bottom w:val="nil"/>
              <w:right w:val="nil"/>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4671" w:type="dxa"/>
            <w:tcBorders>
              <w:top w:val="nil"/>
              <w:left w:val="nil"/>
              <w:bottom w:val="nil"/>
              <w:right w:val="nil"/>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750" w:type="dxa"/>
            <w:tcBorders>
              <w:top w:val="nil"/>
              <w:left w:val="nil"/>
              <w:bottom w:val="nil"/>
              <w:right w:val="nil"/>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699" w:type="dxa"/>
            <w:tcBorders>
              <w:top w:val="nil"/>
              <w:left w:val="nil"/>
              <w:bottom w:val="nil"/>
              <w:right w:val="nil"/>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trPr>
        <w:tc>
          <w:tcPr>
            <w:tcW w:w="6868" w:type="dxa"/>
            <w:gridSpan w:val="3"/>
            <w:tcBorders>
              <w:top w:val="single" w:color="000000" w:sz="8" w:space="0"/>
              <w:left w:val="single" w:color="000000" w:sz="8"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收入</w:t>
            </w:r>
          </w:p>
        </w:tc>
        <w:tc>
          <w:tcPr>
            <w:tcW w:w="7120" w:type="dxa"/>
            <w:gridSpan w:val="3"/>
            <w:tcBorders>
              <w:top w:val="single" w:color="000000" w:sz="8"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9" w:hRule="atLeast"/>
        </w:trPr>
        <w:tc>
          <w:tcPr>
            <w:tcW w:w="4279" w:type="dxa"/>
            <w:tcBorders>
              <w:top w:val="single" w:color="000000" w:sz="4" w:space="0"/>
              <w:left w:val="single" w:color="000000" w:sz="8"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项    目</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行次</w:t>
            </w:r>
          </w:p>
        </w:tc>
        <w:tc>
          <w:tcPr>
            <w:tcW w:w="176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决算数</w:t>
            </w:r>
          </w:p>
        </w:tc>
        <w:tc>
          <w:tcPr>
            <w:tcW w:w="467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项    目</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行次</w:t>
            </w:r>
          </w:p>
        </w:tc>
        <w:tc>
          <w:tcPr>
            <w:tcW w:w="1699" w:type="dxa"/>
            <w:tcBorders>
              <w:top w:val="single" w:color="000000" w:sz="4" w:space="0"/>
              <w:left w:val="single" w:color="000000" w:sz="4" w:space="0"/>
              <w:bottom w:val="single" w:color="000000" w:sz="4" w:space="0"/>
              <w:right w:val="single" w:color="000000" w:sz="8"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279" w:type="dxa"/>
            <w:tcBorders>
              <w:top w:val="single" w:color="000000" w:sz="4" w:space="0"/>
              <w:left w:val="single" w:color="000000" w:sz="8"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栏    次</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color w:val="000000"/>
                <w:sz w:val="20"/>
                <w:szCs w:val="20"/>
                <w:highlight w:val="none"/>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467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栏    次</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color w:val="000000"/>
                <w:sz w:val="20"/>
                <w:szCs w:val="20"/>
                <w:highlight w:val="none"/>
                <w:u w:val="none"/>
              </w:rPr>
            </w:pPr>
          </w:p>
        </w:tc>
        <w:tc>
          <w:tcPr>
            <w:tcW w:w="1699" w:type="dxa"/>
            <w:tcBorders>
              <w:top w:val="single" w:color="000000" w:sz="4" w:space="0"/>
              <w:left w:val="single" w:color="000000" w:sz="4" w:space="0"/>
              <w:bottom w:val="single" w:color="000000" w:sz="4" w:space="0"/>
              <w:right w:val="single" w:color="000000" w:sz="8"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5" w:hRule="atLeast"/>
        </w:trPr>
        <w:tc>
          <w:tcPr>
            <w:tcW w:w="4279" w:type="dxa"/>
            <w:tcBorders>
              <w:top w:val="single" w:color="000000" w:sz="4" w:space="0"/>
              <w:left w:val="single" w:color="000000" w:sz="8"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一、财政拨款收入</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176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213.39</w:t>
            </w:r>
          </w:p>
        </w:tc>
        <w:tc>
          <w:tcPr>
            <w:tcW w:w="467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一、一般公共服务支出</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14</w:t>
            </w:r>
          </w:p>
        </w:tc>
        <w:tc>
          <w:tcPr>
            <w:tcW w:w="1699"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4" w:hRule="atLeast"/>
        </w:trPr>
        <w:tc>
          <w:tcPr>
            <w:tcW w:w="4279" w:type="dxa"/>
            <w:tcBorders>
              <w:top w:val="single" w:color="000000" w:sz="4" w:space="0"/>
              <w:left w:val="single" w:color="000000" w:sz="8"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二、上级补助收入</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w:t>
            </w:r>
          </w:p>
        </w:tc>
        <w:tc>
          <w:tcPr>
            <w:tcW w:w="176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467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二、外交支出</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15</w:t>
            </w:r>
          </w:p>
        </w:tc>
        <w:tc>
          <w:tcPr>
            <w:tcW w:w="1699"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trPr>
        <w:tc>
          <w:tcPr>
            <w:tcW w:w="4279" w:type="dxa"/>
            <w:tcBorders>
              <w:top w:val="single" w:color="000000" w:sz="4" w:space="0"/>
              <w:left w:val="single" w:color="000000" w:sz="8"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三、事业收入</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w:t>
            </w:r>
          </w:p>
        </w:tc>
        <w:tc>
          <w:tcPr>
            <w:tcW w:w="176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467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三、国防支出</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16</w:t>
            </w:r>
          </w:p>
        </w:tc>
        <w:tc>
          <w:tcPr>
            <w:tcW w:w="1699"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trPr>
        <w:tc>
          <w:tcPr>
            <w:tcW w:w="4279" w:type="dxa"/>
            <w:tcBorders>
              <w:top w:val="single" w:color="000000" w:sz="4" w:space="0"/>
              <w:left w:val="single" w:color="000000" w:sz="8"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四、经营收入</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4</w:t>
            </w:r>
          </w:p>
        </w:tc>
        <w:tc>
          <w:tcPr>
            <w:tcW w:w="176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467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四、公共安全支出</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17</w:t>
            </w:r>
          </w:p>
        </w:tc>
        <w:tc>
          <w:tcPr>
            <w:tcW w:w="1699"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trPr>
        <w:tc>
          <w:tcPr>
            <w:tcW w:w="4279" w:type="dxa"/>
            <w:tcBorders>
              <w:top w:val="single" w:color="000000" w:sz="4" w:space="0"/>
              <w:left w:val="single" w:color="000000" w:sz="8"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五、附属单位上缴收入</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5</w:t>
            </w:r>
          </w:p>
        </w:tc>
        <w:tc>
          <w:tcPr>
            <w:tcW w:w="176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467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五、教育支出</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18</w:t>
            </w:r>
          </w:p>
        </w:tc>
        <w:tc>
          <w:tcPr>
            <w:tcW w:w="1699"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trPr>
        <w:tc>
          <w:tcPr>
            <w:tcW w:w="4279" w:type="dxa"/>
            <w:tcBorders>
              <w:top w:val="single" w:color="000000" w:sz="4" w:space="0"/>
              <w:left w:val="single" w:color="000000" w:sz="8"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六、其他收入</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6</w:t>
            </w:r>
          </w:p>
        </w:tc>
        <w:tc>
          <w:tcPr>
            <w:tcW w:w="176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467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宋体" w:hAnsi="宋体" w:eastAsia="宋体" w:cs="宋体"/>
                <w:i w:val="0"/>
                <w:color w:val="000000"/>
                <w:sz w:val="20"/>
                <w:szCs w:val="20"/>
                <w:highlight w:val="none"/>
                <w:u w:val="none"/>
                <w:lang w:val="en-US"/>
              </w:rPr>
            </w:pPr>
            <w:r>
              <w:rPr>
                <w:rFonts w:hint="eastAsia" w:ascii="宋体" w:hAnsi="宋体" w:eastAsia="宋体" w:cs="宋体"/>
                <w:i w:val="0"/>
                <w:color w:val="000000"/>
                <w:kern w:val="0"/>
                <w:sz w:val="20"/>
                <w:szCs w:val="20"/>
                <w:highlight w:val="none"/>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19</w:t>
            </w:r>
          </w:p>
        </w:tc>
        <w:tc>
          <w:tcPr>
            <w:tcW w:w="1699"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trPr>
        <w:tc>
          <w:tcPr>
            <w:tcW w:w="4279" w:type="dxa"/>
            <w:tcBorders>
              <w:top w:val="single" w:color="000000" w:sz="4" w:space="0"/>
              <w:left w:val="single" w:color="000000" w:sz="8"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color w:val="000000"/>
                <w:sz w:val="20"/>
                <w:szCs w:val="20"/>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7</w:t>
            </w:r>
          </w:p>
        </w:tc>
        <w:tc>
          <w:tcPr>
            <w:tcW w:w="176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4671"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八、社会保障和就业支出</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20</w:t>
            </w:r>
          </w:p>
        </w:tc>
        <w:tc>
          <w:tcPr>
            <w:tcW w:w="1699"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6.54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trPr>
        <w:tc>
          <w:tcPr>
            <w:tcW w:w="4279" w:type="dxa"/>
            <w:tcBorders>
              <w:top w:val="single" w:color="000000" w:sz="4" w:space="0"/>
              <w:left w:val="single" w:color="000000" w:sz="8"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color w:val="000000"/>
                <w:sz w:val="20"/>
                <w:szCs w:val="20"/>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8</w:t>
            </w:r>
          </w:p>
        </w:tc>
        <w:tc>
          <w:tcPr>
            <w:tcW w:w="176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color w:val="000000"/>
                <w:sz w:val="20"/>
                <w:szCs w:val="20"/>
                <w:highlight w:val="none"/>
                <w:u w:val="none"/>
              </w:rPr>
            </w:pPr>
          </w:p>
        </w:tc>
        <w:tc>
          <w:tcPr>
            <w:tcW w:w="4671" w:type="dxa"/>
            <w:tcBorders>
              <w:top w:val="single" w:color="000000" w:sz="4" w:space="0"/>
              <w:left w:val="single" w:color="000000" w:sz="4" w:space="0"/>
              <w:bottom w:val="single" w:color="000000" w:sz="4" w:space="0"/>
              <w:right w:val="nil"/>
            </w:tcBorders>
            <w:shd w:val="clear" w:color="auto" w:fill="auto"/>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lef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十一、城乡社区支出</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21</w:t>
            </w:r>
          </w:p>
        </w:tc>
        <w:tc>
          <w:tcPr>
            <w:tcW w:w="1699" w:type="dxa"/>
            <w:tcBorders>
              <w:top w:val="single" w:color="000000" w:sz="4" w:space="0"/>
              <w:left w:val="nil"/>
              <w:bottom w:val="single" w:color="000000" w:sz="4"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207.76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trPr>
        <w:tc>
          <w:tcPr>
            <w:tcW w:w="4279" w:type="dxa"/>
            <w:tcBorders>
              <w:top w:val="single" w:color="000000" w:sz="4" w:space="0"/>
              <w:left w:val="single" w:color="000000" w:sz="8"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本年收入合计</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9</w:t>
            </w:r>
          </w:p>
        </w:tc>
        <w:tc>
          <w:tcPr>
            <w:tcW w:w="176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213.39</w:t>
            </w:r>
          </w:p>
        </w:tc>
        <w:tc>
          <w:tcPr>
            <w:tcW w:w="4671" w:type="dxa"/>
            <w:tcBorders>
              <w:top w:val="single" w:color="000000" w:sz="4" w:space="0"/>
              <w:left w:val="single" w:color="000000" w:sz="4" w:space="0"/>
              <w:bottom w:val="single" w:color="000000" w:sz="4" w:space="0"/>
              <w:right w:val="nil"/>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本年支出合计</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22</w:t>
            </w:r>
          </w:p>
        </w:tc>
        <w:tc>
          <w:tcPr>
            <w:tcW w:w="1699" w:type="dxa"/>
            <w:tcBorders>
              <w:top w:val="single" w:color="000000" w:sz="4" w:space="0"/>
              <w:left w:val="nil"/>
              <w:bottom w:val="single" w:color="000000" w:sz="4"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214.30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trPr>
        <w:tc>
          <w:tcPr>
            <w:tcW w:w="4279" w:type="dxa"/>
            <w:tcBorders>
              <w:top w:val="single" w:color="000000" w:sz="4" w:space="0"/>
              <w:left w:val="single" w:color="000000" w:sz="8"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用事业基金弥补收支差额</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10</w:t>
            </w:r>
          </w:p>
        </w:tc>
        <w:tc>
          <w:tcPr>
            <w:tcW w:w="176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4671" w:type="dxa"/>
            <w:tcBorders>
              <w:top w:val="single" w:color="000000" w:sz="4" w:space="0"/>
              <w:left w:val="single" w:color="000000" w:sz="4" w:space="0"/>
              <w:bottom w:val="single" w:color="000000" w:sz="4" w:space="0"/>
              <w:right w:val="nil"/>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结余分配</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23</w:t>
            </w:r>
          </w:p>
        </w:tc>
        <w:tc>
          <w:tcPr>
            <w:tcW w:w="1699" w:type="dxa"/>
            <w:tcBorders>
              <w:top w:val="single" w:color="000000" w:sz="4" w:space="0"/>
              <w:left w:val="nil"/>
              <w:bottom w:val="single" w:color="000000" w:sz="4"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trPr>
        <w:tc>
          <w:tcPr>
            <w:tcW w:w="4279" w:type="dxa"/>
            <w:tcBorders>
              <w:top w:val="single" w:color="000000" w:sz="4" w:space="0"/>
              <w:left w:val="single" w:color="000000" w:sz="8"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年初结转和结余</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11</w:t>
            </w:r>
          </w:p>
        </w:tc>
        <w:tc>
          <w:tcPr>
            <w:tcW w:w="176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0.91</w:t>
            </w:r>
          </w:p>
        </w:tc>
        <w:tc>
          <w:tcPr>
            <w:tcW w:w="4671" w:type="dxa"/>
            <w:tcBorders>
              <w:top w:val="single" w:color="000000" w:sz="4" w:space="0"/>
              <w:left w:val="single" w:color="000000" w:sz="4" w:space="0"/>
              <w:bottom w:val="single" w:color="000000" w:sz="4" w:space="0"/>
              <w:right w:val="nil"/>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年末结转和结余</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24</w:t>
            </w:r>
          </w:p>
        </w:tc>
        <w:tc>
          <w:tcPr>
            <w:tcW w:w="1699" w:type="dxa"/>
            <w:tcBorders>
              <w:top w:val="single" w:color="000000" w:sz="4" w:space="0"/>
              <w:left w:val="nil"/>
              <w:bottom w:val="single" w:color="000000" w:sz="4"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trPr>
        <w:tc>
          <w:tcPr>
            <w:tcW w:w="4279" w:type="dxa"/>
            <w:tcBorders>
              <w:top w:val="single" w:color="000000" w:sz="4" w:space="0"/>
              <w:left w:val="single" w:color="000000" w:sz="8" w:space="0"/>
              <w:bottom w:val="single" w:color="000000" w:sz="8" w:space="0"/>
              <w:right w:val="nil"/>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总计</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13</w:t>
            </w:r>
          </w:p>
        </w:tc>
        <w:tc>
          <w:tcPr>
            <w:tcW w:w="1764" w:type="dxa"/>
            <w:tcBorders>
              <w:top w:val="single" w:color="000000" w:sz="4" w:space="0"/>
              <w:left w:val="single" w:color="000000" w:sz="4" w:space="0"/>
              <w:bottom w:val="single" w:color="000000" w:sz="8" w:space="0"/>
              <w:right w:val="single" w:color="000000" w:sz="4" w:space="0"/>
            </w:tcBorders>
            <w:shd w:val="clear" w:color="auto" w:fill="auto"/>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214.30</w:t>
            </w:r>
          </w:p>
        </w:tc>
        <w:tc>
          <w:tcPr>
            <w:tcW w:w="4671" w:type="dxa"/>
            <w:tcBorders>
              <w:top w:val="single" w:color="000000" w:sz="4" w:space="0"/>
              <w:left w:val="single" w:color="000000" w:sz="4" w:space="0"/>
              <w:bottom w:val="single" w:color="000000" w:sz="8" w:space="0"/>
              <w:right w:val="nil"/>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总计</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26</w:t>
            </w:r>
          </w:p>
        </w:tc>
        <w:tc>
          <w:tcPr>
            <w:tcW w:w="1699" w:type="dxa"/>
            <w:tcBorders>
              <w:top w:val="single" w:color="000000" w:sz="4" w:space="0"/>
              <w:left w:val="nil"/>
              <w:bottom w:val="single" w:color="000000" w:sz="8"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214.30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13988" w:type="dxa"/>
            <w:gridSpan w:val="6"/>
            <w:tcBorders>
              <w:top w:val="single" w:color="000000" w:sz="8" w:space="0"/>
              <w:left w:val="nil"/>
              <w:bottom w:val="nil"/>
              <w:right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注：本表反映部门本年度的总收支和年末结转结余情况。本表金额转换为万元时，因四舍五入可能存在尾差。</w:t>
            </w:r>
          </w:p>
        </w:tc>
      </w:tr>
    </w:tbl>
    <w:p>
      <w:pPr>
        <w:rPr>
          <w:rFonts w:hint="eastAsia" w:ascii="仿宋_GB2312" w:hAnsi="仿宋_GB2312" w:eastAsia="仿宋_GB2312" w:cs="仿宋_GB2312"/>
          <w:color w:val="auto"/>
          <w:sz w:val="32"/>
          <w:szCs w:val="32"/>
          <w:highlight w:val="none"/>
        </w:rPr>
        <w:sectPr>
          <w:pgSz w:w="16838" w:h="11906" w:orient="landscape"/>
          <w:pgMar w:top="1800" w:right="1440" w:bottom="1800" w:left="1440" w:header="720" w:footer="720" w:gutter="0"/>
          <w:pgNumType w:fmt="numberInDash"/>
          <w:cols w:space="720" w:num="1"/>
          <w:docGrid w:type="lines" w:linePitch="312" w:charSpace="0"/>
        </w:sectPr>
      </w:pP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027"/>
        <w:gridCol w:w="59"/>
        <w:gridCol w:w="1176"/>
        <w:gridCol w:w="1648"/>
        <w:gridCol w:w="88"/>
        <w:gridCol w:w="1465"/>
        <w:gridCol w:w="176"/>
        <w:gridCol w:w="1377"/>
        <w:gridCol w:w="264"/>
        <w:gridCol w:w="1289"/>
        <w:gridCol w:w="352"/>
        <w:gridCol w:w="1201"/>
        <w:gridCol w:w="440"/>
        <w:gridCol w:w="1113"/>
        <w:gridCol w:w="528"/>
        <w:gridCol w:w="16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atLeast"/>
        </w:trPr>
        <w:tc>
          <w:tcPr>
            <w:tcW w:w="13845" w:type="dxa"/>
            <w:gridSpan w:val="16"/>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highlight w:val="none"/>
                <w:u w:val="none"/>
              </w:rPr>
            </w:pPr>
            <w:r>
              <w:rPr>
                <w:rFonts w:hint="eastAsia" w:ascii="华文中宋" w:hAnsi="华文中宋" w:eastAsia="华文中宋" w:cs="华文中宋"/>
                <w:i w:val="0"/>
                <w:color w:val="000000"/>
                <w:kern w:val="0"/>
                <w:sz w:val="32"/>
                <w:szCs w:val="32"/>
                <w:highlight w:val="none"/>
                <w:u w:val="none"/>
                <w:lang w:val="en-US" w:eastAsia="zh-CN" w:bidi="ar"/>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027" w:type="dxa"/>
            <w:tcBorders>
              <w:top w:val="nil"/>
              <w:left w:val="nil"/>
              <w:bottom w:val="nil"/>
              <w:right w:val="nil"/>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59" w:type="dxa"/>
            <w:tcBorders>
              <w:top w:val="nil"/>
              <w:left w:val="nil"/>
              <w:bottom w:val="nil"/>
              <w:right w:val="nil"/>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176" w:type="dxa"/>
            <w:tcBorders>
              <w:top w:val="nil"/>
              <w:left w:val="nil"/>
              <w:bottom w:val="nil"/>
              <w:right w:val="nil"/>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648" w:type="dxa"/>
            <w:tcBorders>
              <w:top w:val="nil"/>
              <w:left w:val="nil"/>
              <w:bottom w:val="nil"/>
              <w:right w:val="nil"/>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553" w:type="dxa"/>
            <w:gridSpan w:val="2"/>
            <w:tcBorders>
              <w:top w:val="nil"/>
              <w:left w:val="nil"/>
              <w:bottom w:val="nil"/>
              <w:right w:val="nil"/>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553" w:type="dxa"/>
            <w:gridSpan w:val="2"/>
            <w:tcBorders>
              <w:top w:val="nil"/>
              <w:left w:val="nil"/>
              <w:bottom w:val="nil"/>
              <w:right w:val="nil"/>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553" w:type="dxa"/>
            <w:gridSpan w:val="2"/>
            <w:tcBorders>
              <w:top w:val="nil"/>
              <w:left w:val="nil"/>
              <w:bottom w:val="nil"/>
              <w:right w:val="nil"/>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553" w:type="dxa"/>
            <w:gridSpan w:val="2"/>
            <w:tcBorders>
              <w:top w:val="nil"/>
              <w:left w:val="nil"/>
              <w:bottom w:val="nil"/>
              <w:right w:val="nil"/>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553" w:type="dxa"/>
            <w:gridSpan w:val="2"/>
            <w:tcBorders>
              <w:top w:val="nil"/>
              <w:left w:val="nil"/>
              <w:bottom w:val="nil"/>
              <w:right w:val="nil"/>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2170" w:type="dxa"/>
            <w:gridSpan w:val="2"/>
            <w:tcBorders>
              <w:top w:val="nil"/>
              <w:left w:val="nil"/>
              <w:bottom w:val="nil"/>
              <w:right w:val="nil"/>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5463" w:type="dxa"/>
            <w:gridSpan w:val="6"/>
            <w:tcBorders>
              <w:top w:val="nil"/>
              <w:left w:val="nil"/>
              <w:bottom w:val="nil"/>
              <w:right w:val="nil"/>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部门：许昌市建安区建筑工程标准定额管理站</w:t>
            </w:r>
          </w:p>
        </w:tc>
        <w:tc>
          <w:tcPr>
            <w:tcW w:w="1553" w:type="dxa"/>
            <w:gridSpan w:val="2"/>
            <w:tcBorders>
              <w:top w:val="nil"/>
              <w:left w:val="nil"/>
              <w:bottom w:val="nil"/>
              <w:right w:val="nil"/>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color w:val="000000"/>
                <w:sz w:val="20"/>
                <w:szCs w:val="20"/>
                <w:highlight w:val="none"/>
                <w:u w:val="none"/>
              </w:rPr>
            </w:pPr>
          </w:p>
        </w:tc>
        <w:tc>
          <w:tcPr>
            <w:tcW w:w="1553" w:type="dxa"/>
            <w:gridSpan w:val="2"/>
            <w:tcBorders>
              <w:top w:val="nil"/>
              <w:left w:val="nil"/>
              <w:bottom w:val="nil"/>
              <w:right w:val="nil"/>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553" w:type="dxa"/>
            <w:gridSpan w:val="2"/>
            <w:tcBorders>
              <w:top w:val="nil"/>
              <w:left w:val="nil"/>
              <w:bottom w:val="nil"/>
              <w:right w:val="nil"/>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553" w:type="dxa"/>
            <w:gridSpan w:val="2"/>
            <w:tcBorders>
              <w:top w:val="nil"/>
              <w:left w:val="nil"/>
              <w:bottom w:val="nil"/>
              <w:right w:val="nil"/>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2170" w:type="dxa"/>
            <w:gridSpan w:val="2"/>
            <w:tcBorders>
              <w:top w:val="nil"/>
              <w:left w:val="nil"/>
              <w:bottom w:val="nil"/>
              <w:right w:val="nil"/>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2262" w:type="dxa"/>
            <w:gridSpan w:val="3"/>
            <w:tcBorders>
              <w:top w:val="single" w:color="000000" w:sz="8" w:space="0"/>
              <w:left w:val="single" w:color="000000" w:sz="8" w:space="0"/>
              <w:bottom w:val="single" w:color="000000" w:sz="4" w:space="0"/>
              <w:right w:val="nil"/>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项    目</w:t>
            </w:r>
          </w:p>
        </w:tc>
        <w:tc>
          <w:tcPr>
            <w:tcW w:w="1736" w:type="dxa"/>
            <w:gridSpan w:val="2"/>
            <w:vMerge w:val="restart"/>
            <w:tcBorders>
              <w:top w:val="single" w:color="000000" w:sz="8"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本年收入合计</w:t>
            </w:r>
          </w:p>
        </w:tc>
        <w:tc>
          <w:tcPr>
            <w:tcW w:w="1641" w:type="dxa"/>
            <w:gridSpan w:val="2"/>
            <w:vMerge w:val="restart"/>
            <w:tcBorders>
              <w:top w:val="single" w:color="000000" w:sz="8"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财政拨款收入</w:t>
            </w:r>
          </w:p>
        </w:tc>
        <w:tc>
          <w:tcPr>
            <w:tcW w:w="1641" w:type="dxa"/>
            <w:gridSpan w:val="2"/>
            <w:vMerge w:val="restart"/>
            <w:tcBorders>
              <w:top w:val="single" w:color="000000" w:sz="8"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上级补助收入</w:t>
            </w:r>
          </w:p>
        </w:tc>
        <w:tc>
          <w:tcPr>
            <w:tcW w:w="1641" w:type="dxa"/>
            <w:gridSpan w:val="2"/>
            <w:vMerge w:val="restart"/>
            <w:tcBorders>
              <w:top w:val="single" w:color="000000" w:sz="8"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事业收入</w:t>
            </w:r>
          </w:p>
        </w:tc>
        <w:tc>
          <w:tcPr>
            <w:tcW w:w="1641" w:type="dxa"/>
            <w:gridSpan w:val="2"/>
            <w:vMerge w:val="restart"/>
            <w:tcBorders>
              <w:top w:val="single" w:color="000000" w:sz="8"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经营收入</w:t>
            </w:r>
          </w:p>
        </w:tc>
        <w:tc>
          <w:tcPr>
            <w:tcW w:w="1641" w:type="dxa"/>
            <w:gridSpan w:val="2"/>
            <w:vMerge w:val="restart"/>
            <w:tcBorders>
              <w:top w:val="single" w:color="000000" w:sz="8"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附属单位上缴收入</w:t>
            </w:r>
          </w:p>
        </w:tc>
        <w:tc>
          <w:tcPr>
            <w:tcW w:w="1642" w:type="dxa"/>
            <w:vMerge w:val="restart"/>
            <w:tcBorders>
              <w:top w:val="single" w:color="000000" w:sz="8" w:space="0"/>
              <w:left w:val="single" w:color="000000" w:sz="4" w:space="0"/>
              <w:bottom w:val="single" w:color="000000" w:sz="4" w:space="0"/>
              <w:right w:val="single" w:color="000000" w:sz="8"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086" w:type="dxa"/>
            <w:gridSpan w:val="2"/>
            <w:vMerge w:val="restart"/>
            <w:tcBorders>
              <w:top w:val="single" w:color="000000" w:sz="4" w:space="0"/>
              <w:left w:val="single" w:color="000000" w:sz="8" w:space="0"/>
              <w:bottom w:val="single" w:color="000000" w:sz="4" w:space="0"/>
              <w:right w:val="nil"/>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功能分类</w:t>
            </w:r>
          </w:p>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科目编码</w:t>
            </w:r>
          </w:p>
        </w:tc>
        <w:tc>
          <w:tcPr>
            <w:tcW w:w="117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科目名称</w:t>
            </w:r>
          </w:p>
        </w:tc>
        <w:tc>
          <w:tcPr>
            <w:tcW w:w="1736" w:type="dxa"/>
            <w:gridSpan w:val="2"/>
            <w:vMerge w:val="continue"/>
            <w:tcBorders>
              <w:top w:val="single" w:color="000000" w:sz="8"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color w:val="000000"/>
                <w:sz w:val="20"/>
                <w:szCs w:val="20"/>
                <w:highlight w:val="none"/>
                <w:u w:val="none"/>
              </w:rPr>
            </w:pPr>
          </w:p>
        </w:tc>
        <w:tc>
          <w:tcPr>
            <w:tcW w:w="1641" w:type="dxa"/>
            <w:gridSpan w:val="2"/>
            <w:vMerge w:val="continue"/>
            <w:tcBorders>
              <w:top w:val="single" w:color="000000" w:sz="8"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color w:val="000000"/>
                <w:sz w:val="20"/>
                <w:szCs w:val="20"/>
                <w:highlight w:val="none"/>
                <w:u w:val="none"/>
              </w:rPr>
            </w:pPr>
          </w:p>
        </w:tc>
        <w:tc>
          <w:tcPr>
            <w:tcW w:w="1641" w:type="dxa"/>
            <w:gridSpan w:val="2"/>
            <w:vMerge w:val="continue"/>
            <w:tcBorders>
              <w:top w:val="single" w:color="000000" w:sz="8"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color w:val="000000"/>
                <w:sz w:val="20"/>
                <w:szCs w:val="20"/>
                <w:highlight w:val="none"/>
                <w:u w:val="none"/>
              </w:rPr>
            </w:pPr>
          </w:p>
        </w:tc>
        <w:tc>
          <w:tcPr>
            <w:tcW w:w="1641" w:type="dxa"/>
            <w:gridSpan w:val="2"/>
            <w:vMerge w:val="continue"/>
            <w:tcBorders>
              <w:top w:val="single" w:color="000000" w:sz="8"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color w:val="000000"/>
                <w:sz w:val="20"/>
                <w:szCs w:val="20"/>
                <w:highlight w:val="none"/>
                <w:u w:val="none"/>
              </w:rPr>
            </w:pPr>
          </w:p>
        </w:tc>
        <w:tc>
          <w:tcPr>
            <w:tcW w:w="1641" w:type="dxa"/>
            <w:gridSpan w:val="2"/>
            <w:vMerge w:val="continue"/>
            <w:tcBorders>
              <w:top w:val="single" w:color="000000" w:sz="8"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color w:val="000000"/>
                <w:sz w:val="20"/>
                <w:szCs w:val="20"/>
                <w:highlight w:val="none"/>
                <w:u w:val="none"/>
              </w:rPr>
            </w:pPr>
          </w:p>
        </w:tc>
        <w:tc>
          <w:tcPr>
            <w:tcW w:w="1641" w:type="dxa"/>
            <w:gridSpan w:val="2"/>
            <w:vMerge w:val="continue"/>
            <w:tcBorders>
              <w:top w:val="single" w:color="000000" w:sz="8"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color w:val="000000"/>
                <w:sz w:val="20"/>
                <w:szCs w:val="20"/>
                <w:highlight w:val="none"/>
                <w:u w:val="none"/>
              </w:rPr>
            </w:pPr>
          </w:p>
        </w:tc>
        <w:tc>
          <w:tcPr>
            <w:tcW w:w="1642" w:type="dxa"/>
            <w:vMerge w:val="continue"/>
            <w:tcBorders>
              <w:top w:val="single" w:color="000000" w:sz="8" w:space="0"/>
              <w:left w:val="single" w:color="000000" w:sz="4" w:space="0"/>
              <w:bottom w:val="single" w:color="000000" w:sz="4" w:space="0"/>
              <w:right w:val="single" w:color="000000" w:sz="8"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086" w:type="dxa"/>
            <w:gridSpan w:val="2"/>
            <w:vMerge w:val="continue"/>
            <w:tcBorders>
              <w:top w:val="single" w:color="000000" w:sz="4" w:space="0"/>
              <w:left w:val="single" w:color="000000" w:sz="8" w:space="0"/>
              <w:bottom w:val="single" w:color="000000" w:sz="4" w:space="0"/>
              <w:right w:val="nil"/>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color w:val="000000"/>
                <w:sz w:val="20"/>
                <w:szCs w:val="20"/>
                <w:highlight w:val="none"/>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color w:val="000000"/>
                <w:sz w:val="20"/>
                <w:szCs w:val="20"/>
                <w:highlight w:val="none"/>
                <w:u w:val="none"/>
              </w:rPr>
            </w:pPr>
          </w:p>
        </w:tc>
        <w:tc>
          <w:tcPr>
            <w:tcW w:w="1736" w:type="dxa"/>
            <w:gridSpan w:val="2"/>
            <w:vMerge w:val="continue"/>
            <w:tcBorders>
              <w:top w:val="single" w:color="000000" w:sz="8"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color w:val="000000"/>
                <w:sz w:val="20"/>
                <w:szCs w:val="20"/>
                <w:highlight w:val="none"/>
                <w:u w:val="none"/>
              </w:rPr>
            </w:pPr>
          </w:p>
        </w:tc>
        <w:tc>
          <w:tcPr>
            <w:tcW w:w="1641" w:type="dxa"/>
            <w:gridSpan w:val="2"/>
            <w:vMerge w:val="continue"/>
            <w:tcBorders>
              <w:top w:val="single" w:color="000000" w:sz="8"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color w:val="000000"/>
                <w:sz w:val="20"/>
                <w:szCs w:val="20"/>
                <w:highlight w:val="none"/>
                <w:u w:val="none"/>
              </w:rPr>
            </w:pPr>
          </w:p>
        </w:tc>
        <w:tc>
          <w:tcPr>
            <w:tcW w:w="1641" w:type="dxa"/>
            <w:gridSpan w:val="2"/>
            <w:vMerge w:val="continue"/>
            <w:tcBorders>
              <w:top w:val="single" w:color="000000" w:sz="8"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color w:val="000000"/>
                <w:sz w:val="20"/>
                <w:szCs w:val="20"/>
                <w:highlight w:val="none"/>
                <w:u w:val="none"/>
              </w:rPr>
            </w:pPr>
          </w:p>
        </w:tc>
        <w:tc>
          <w:tcPr>
            <w:tcW w:w="1641" w:type="dxa"/>
            <w:gridSpan w:val="2"/>
            <w:vMerge w:val="continue"/>
            <w:tcBorders>
              <w:top w:val="single" w:color="000000" w:sz="8"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color w:val="000000"/>
                <w:sz w:val="20"/>
                <w:szCs w:val="20"/>
                <w:highlight w:val="none"/>
                <w:u w:val="none"/>
              </w:rPr>
            </w:pPr>
          </w:p>
        </w:tc>
        <w:tc>
          <w:tcPr>
            <w:tcW w:w="1641" w:type="dxa"/>
            <w:gridSpan w:val="2"/>
            <w:vMerge w:val="continue"/>
            <w:tcBorders>
              <w:top w:val="single" w:color="000000" w:sz="8"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color w:val="000000"/>
                <w:sz w:val="20"/>
                <w:szCs w:val="20"/>
                <w:highlight w:val="none"/>
                <w:u w:val="none"/>
              </w:rPr>
            </w:pPr>
          </w:p>
        </w:tc>
        <w:tc>
          <w:tcPr>
            <w:tcW w:w="1641" w:type="dxa"/>
            <w:gridSpan w:val="2"/>
            <w:vMerge w:val="continue"/>
            <w:tcBorders>
              <w:top w:val="single" w:color="000000" w:sz="8"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color w:val="000000"/>
                <w:sz w:val="20"/>
                <w:szCs w:val="20"/>
                <w:highlight w:val="none"/>
                <w:u w:val="none"/>
              </w:rPr>
            </w:pPr>
          </w:p>
        </w:tc>
        <w:tc>
          <w:tcPr>
            <w:tcW w:w="1642" w:type="dxa"/>
            <w:vMerge w:val="continue"/>
            <w:tcBorders>
              <w:top w:val="single" w:color="000000" w:sz="8" w:space="0"/>
              <w:left w:val="single" w:color="000000" w:sz="4" w:space="0"/>
              <w:bottom w:val="single" w:color="000000" w:sz="4" w:space="0"/>
              <w:right w:val="single" w:color="000000" w:sz="8"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2262" w:type="dxa"/>
            <w:gridSpan w:val="3"/>
            <w:tcBorders>
              <w:top w:val="single" w:color="000000" w:sz="4" w:space="0"/>
              <w:left w:val="single" w:color="000000" w:sz="8"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栏次</w:t>
            </w:r>
          </w:p>
        </w:tc>
        <w:tc>
          <w:tcPr>
            <w:tcW w:w="173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164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w:t>
            </w:r>
          </w:p>
        </w:tc>
        <w:tc>
          <w:tcPr>
            <w:tcW w:w="164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w:t>
            </w:r>
          </w:p>
        </w:tc>
        <w:tc>
          <w:tcPr>
            <w:tcW w:w="164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4</w:t>
            </w:r>
          </w:p>
        </w:tc>
        <w:tc>
          <w:tcPr>
            <w:tcW w:w="164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5</w:t>
            </w:r>
          </w:p>
        </w:tc>
        <w:tc>
          <w:tcPr>
            <w:tcW w:w="164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6</w:t>
            </w:r>
          </w:p>
        </w:tc>
        <w:tc>
          <w:tcPr>
            <w:tcW w:w="1642" w:type="dxa"/>
            <w:tcBorders>
              <w:top w:val="single" w:color="000000" w:sz="4" w:space="0"/>
              <w:left w:val="single" w:color="000000" w:sz="4" w:space="0"/>
              <w:bottom w:val="single" w:color="000000" w:sz="4" w:space="0"/>
              <w:right w:val="single" w:color="000000" w:sz="8"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2262" w:type="dxa"/>
            <w:gridSpan w:val="3"/>
            <w:tcBorders>
              <w:top w:val="nil"/>
              <w:left w:val="single" w:color="000000" w:sz="8"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合计</w:t>
            </w:r>
          </w:p>
        </w:tc>
        <w:tc>
          <w:tcPr>
            <w:tcW w:w="173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211.15</w:t>
            </w:r>
          </w:p>
        </w:tc>
        <w:tc>
          <w:tcPr>
            <w:tcW w:w="1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211.15</w:t>
            </w:r>
          </w:p>
        </w:tc>
        <w:tc>
          <w:tcPr>
            <w:tcW w:w="1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64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086" w:type="dxa"/>
            <w:gridSpan w:val="2"/>
            <w:tcBorders>
              <w:top w:val="single" w:color="000000" w:sz="4" w:space="0"/>
              <w:left w:val="single" w:color="000000" w:sz="8"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lef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208</w:t>
            </w:r>
          </w:p>
        </w:tc>
        <w:tc>
          <w:tcPr>
            <w:tcW w:w="117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rPr>
              <w:t>社会保障和就业支出</w:t>
            </w:r>
          </w:p>
        </w:tc>
        <w:tc>
          <w:tcPr>
            <w:tcW w:w="173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6.54</w:t>
            </w:r>
          </w:p>
        </w:tc>
        <w:tc>
          <w:tcPr>
            <w:tcW w:w="1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6.54</w:t>
            </w:r>
          </w:p>
        </w:tc>
        <w:tc>
          <w:tcPr>
            <w:tcW w:w="1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64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086" w:type="dxa"/>
            <w:gridSpan w:val="2"/>
            <w:tcBorders>
              <w:top w:val="single" w:color="000000" w:sz="4" w:space="0"/>
              <w:left w:val="single" w:color="000000" w:sz="8"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lef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20805</w:t>
            </w:r>
          </w:p>
        </w:tc>
        <w:tc>
          <w:tcPr>
            <w:tcW w:w="117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rPr>
              <w:t>行政事业单位养老支出</w:t>
            </w:r>
          </w:p>
        </w:tc>
        <w:tc>
          <w:tcPr>
            <w:tcW w:w="173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default" w:ascii="华文中宋" w:hAnsi="华文中宋" w:eastAsia="华文中宋" w:cs="华文中宋"/>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6.54</w:t>
            </w:r>
          </w:p>
        </w:tc>
        <w:tc>
          <w:tcPr>
            <w:tcW w:w="1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6.54</w:t>
            </w:r>
          </w:p>
        </w:tc>
        <w:tc>
          <w:tcPr>
            <w:tcW w:w="1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64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086" w:type="dxa"/>
            <w:gridSpan w:val="2"/>
            <w:tcBorders>
              <w:top w:val="single" w:color="000000" w:sz="4" w:space="0"/>
              <w:left w:val="single" w:color="000000" w:sz="8"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lef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2080502</w:t>
            </w:r>
          </w:p>
        </w:tc>
        <w:tc>
          <w:tcPr>
            <w:tcW w:w="117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rPr>
              <w:t>事业单位离退休</w:t>
            </w:r>
          </w:p>
        </w:tc>
        <w:tc>
          <w:tcPr>
            <w:tcW w:w="173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6.54</w:t>
            </w:r>
          </w:p>
        </w:tc>
        <w:tc>
          <w:tcPr>
            <w:tcW w:w="1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6.54</w:t>
            </w:r>
          </w:p>
        </w:tc>
        <w:tc>
          <w:tcPr>
            <w:tcW w:w="1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64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086" w:type="dxa"/>
            <w:gridSpan w:val="2"/>
            <w:tcBorders>
              <w:top w:val="single" w:color="000000" w:sz="4" w:space="0"/>
              <w:left w:val="single" w:color="000000" w:sz="8"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lef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212</w:t>
            </w:r>
          </w:p>
        </w:tc>
        <w:tc>
          <w:tcPr>
            <w:tcW w:w="117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rPr>
              <w:t>城乡社区支出</w:t>
            </w:r>
          </w:p>
        </w:tc>
        <w:tc>
          <w:tcPr>
            <w:tcW w:w="173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206.85</w:t>
            </w:r>
          </w:p>
        </w:tc>
        <w:tc>
          <w:tcPr>
            <w:tcW w:w="1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206.85</w:t>
            </w:r>
          </w:p>
        </w:tc>
        <w:tc>
          <w:tcPr>
            <w:tcW w:w="1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64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086" w:type="dxa"/>
            <w:gridSpan w:val="2"/>
            <w:tcBorders>
              <w:top w:val="single" w:color="000000" w:sz="4" w:space="0"/>
              <w:left w:val="single" w:color="000000" w:sz="8" w:space="0"/>
              <w:bottom w:val="single" w:color="000000" w:sz="8"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lef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21201</w:t>
            </w:r>
          </w:p>
        </w:tc>
        <w:tc>
          <w:tcPr>
            <w:tcW w:w="1176" w:type="dxa"/>
            <w:tcBorders>
              <w:top w:val="single" w:color="000000" w:sz="4" w:space="0"/>
              <w:left w:val="single" w:color="000000" w:sz="4" w:space="0"/>
              <w:bottom w:val="single" w:color="000000" w:sz="8"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rPr>
              <w:t>城乡社区管理事务</w:t>
            </w:r>
          </w:p>
        </w:tc>
        <w:tc>
          <w:tcPr>
            <w:tcW w:w="1736" w:type="dxa"/>
            <w:gridSpan w:val="2"/>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206.85</w:t>
            </w:r>
          </w:p>
        </w:tc>
        <w:tc>
          <w:tcPr>
            <w:tcW w:w="1641" w:type="dxa"/>
            <w:gridSpan w:val="2"/>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206.85</w:t>
            </w:r>
          </w:p>
        </w:tc>
        <w:tc>
          <w:tcPr>
            <w:tcW w:w="1641" w:type="dxa"/>
            <w:gridSpan w:val="2"/>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641" w:type="dxa"/>
            <w:gridSpan w:val="2"/>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641" w:type="dxa"/>
            <w:gridSpan w:val="2"/>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641" w:type="dxa"/>
            <w:gridSpan w:val="2"/>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642" w:type="dxa"/>
            <w:tcBorders>
              <w:top w:val="single" w:color="000000" w:sz="4" w:space="0"/>
              <w:left w:val="single" w:color="000000" w:sz="4"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086" w:type="dxa"/>
            <w:gridSpan w:val="2"/>
            <w:tcBorders>
              <w:top w:val="single" w:color="000000" w:sz="4" w:space="0"/>
              <w:left w:val="single" w:color="000000" w:sz="8" w:space="0"/>
              <w:bottom w:val="single" w:color="000000" w:sz="8"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lef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2120105</w:t>
            </w:r>
          </w:p>
        </w:tc>
        <w:tc>
          <w:tcPr>
            <w:tcW w:w="1176" w:type="dxa"/>
            <w:tcBorders>
              <w:top w:val="single" w:color="000000" w:sz="4" w:space="0"/>
              <w:left w:val="single" w:color="000000" w:sz="4" w:space="0"/>
              <w:bottom w:val="single" w:color="000000" w:sz="8"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rPr>
              <w:t>工程建设标准规范编制与监管</w:t>
            </w:r>
          </w:p>
        </w:tc>
        <w:tc>
          <w:tcPr>
            <w:tcW w:w="1736" w:type="dxa"/>
            <w:gridSpan w:val="2"/>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206.85</w:t>
            </w:r>
          </w:p>
        </w:tc>
        <w:tc>
          <w:tcPr>
            <w:tcW w:w="1641" w:type="dxa"/>
            <w:gridSpan w:val="2"/>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206.85</w:t>
            </w:r>
          </w:p>
        </w:tc>
        <w:tc>
          <w:tcPr>
            <w:tcW w:w="1641" w:type="dxa"/>
            <w:gridSpan w:val="2"/>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641" w:type="dxa"/>
            <w:gridSpan w:val="2"/>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641" w:type="dxa"/>
            <w:gridSpan w:val="2"/>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641" w:type="dxa"/>
            <w:gridSpan w:val="2"/>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c>
          <w:tcPr>
            <w:tcW w:w="1642" w:type="dxa"/>
            <w:tcBorders>
              <w:top w:val="single" w:color="000000" w:sz="4" w:space="0"/>
              <w:left w:val="single" w:color="000000" w:sz="4"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5" w:hRule="atLeast"/>
        </w:trPr>
        <w:tc>
          <w:tcPr>
            <w:tcW w:w="13845" w:type="dxa"/>
            <w:gridSpan w:val="16"/>
            <w:tcBorders>
              <w:top w:val="single" w:color="000000" w:sz="8" w:space="0"/>
              <w:left w:val="nil"/>
              <w:bottom w:val="nil"/>
              <w:right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注：本表反映部门本年度取得的各项收入情况。本表金额转换为万元时，因四舍五入可能存在尾差。</w:t>
            </w:r>
          </w:p>
        </w:tc>
      </w:tr>
    </w:tbl>
    <w:p>
      <w:pPr>
        <w:keepNext w:val="0"/>
        <w:keepLines w:val="0"/>
        <w:pageBreakBefore w:val="0"/>
        <w:kinsoku/>
        <w:wordWrap/>
        <w:overflowPunct/>
        <w:topLinePunct w:val="0"/>
        <w:autoSpaceDE/>
        <w:autoSpaceDN/>
        <w:bidi w:val="0"/>
        <w:adjustRightInd/>
        <w:snapToGrid/>
        <w:spacing w:line="200" w:lineRule="exact"/>
        <w:rPr>
          <w:rFonts w:hint="eastAsia" w:ascii="仿宋_GB2312" w:hAnsi="仿宋_GB2312" w:eastAsia="仿宋_GB2312" w:cs="仿宋_GB2312"/>
          <w:color w:val="auto"/>
          <w:sz w:val="32"/>
          <w:szCs w:val="32"/>
          <w:highlight w:val="none"/>
        </w:rPr>
      </w:pPr>
    </w:p>
    <w:p>
      <w:pPr>
        <w:rPr>
          <w:rFonts w:hint="eastAsia" w:ascii="仿宋_GB2312" w:hAnsi="仿宋_GB2312" w:eastAsia="仿宋_GB2312" w:cs="仿宋_GB2312"/>
          <w:color w:val="auto"/>
          <w:sz w:val="32"/>
          <w:szCs w:val="32"/>
          <w:highlight w:val="none"/>
        </w:rPr>
        <w:sectPr>
          <w:pgSz w:w="16838" w:h="11906" w:orient="landscape"/>
          <w:pgMar w:top="1800" w:right="1440" w:bottom="1800" w:left="1440" w:header="720" w:footer="720" w:gutter="0"/>
          <w:pgNumType w:fmt="numberInDash"/>
          <w:cols w:space="720" w:num="1"/>
          <w:docGrid w:type="lines" w:linePitch="312" w:charSpace="0"/>
        </w:sectPr>
      </w:pP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120"/>
        <w:gridCol w:w="63"/>
        <w:gridCol w:w="27"/>
        <w:gridCol w:w="1349"/>
        <w:gridCol w:w="1774"/>
        <w:gridCol w:w="130"/>
        <w:gridCol w:w="1672"/>
        <w:gridCol w:w="232"/>
        <w:gridCol w:w="1569"/>
        <w:gridCol w:w="335"/>
        <w:gridCol w:w="1467"/>
        <w:gridCol w:w="437"/>
        <w:gridCol w:w="1364"/>
        <w:gridCol w:w="540"/>
        <w:gridCol w:w="19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atLeast"/>
        </w:trPr>
        <w:tc>
          <w:tcPr>
            <w:tcW w:w="13988" w:type="dxa"/>
            <w:gridSpan w:val="15"/>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highlight w:val="none"/>
                <w:u w:val="none"/>
              </w:rPr>
            </w:pPr>
            <w:r>
              <w:rPr>
                <w:rFonts w:hint="eastAsia" w:ascii="华文中宋" w:hAnsi="华文中宋" w:eastAsia="华文中宋" w:cs="华文中宋"/>
                <w:i w:val="0"/>
                <w:color w:val="000000"/>
                <w:kern w:val="0"/>
                <w:sz w:val="32"/>
                <w:szCs w:val="32"/>
                <w:highlight w:val="none"/>
                <w:u w:val="none"/>
                <w:lang w:val="en-US" w:eastAsia="zh-CN" w:bidi="ar"/>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120" w:type="dxa"/>
            <w:tcBorders>
              <w:top w:val="nil"/>
              <w:left w:val="nil"/>
              <w:bottom w:val="nil"/>
              <w:right w:val="nil"/>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90" w:type="dxa"/>
            <w:gridSpan w:val="2"/>
            <w:tcBorders>
              <w:top w:val="nil"/>
              <w:left w:val="nil"/>
              <w:bottom w:val="nil"/>
              <w:right w:val="nil"/>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1349" w:type="dxa"/>
            <w:tcBorders>
              <w:top w:val="nil"/>
              <w:left w:val="nil"/>
              <w:bottom w:val="nil"/>
              <w:right w:val="nil"/>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1774" w:type="dxa"/>
            <w:tcBorders>
              <w:top w:val="nil"/>
              <w:left w:val="nil"/>
              <w:bottom w:val="nil"/>
              <w:right w:val="nil"/>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1802" w:type="dxa"/>
            <w:gridSpan w:val="2"/>
            <w:tcBorders>
              <w:top w:val="nil"/>
              <w:left w:val="nil"/>
              <w:bottom w:val="nil"/>
              <w:right w:val="nil"/>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1801" w:type="dxa"/>
            <w:gridSpan w:val="2"/>
            <w:tcBorders>
              <w:top w:val="nil"/>
              <w:left w:val="nil"/>
              <w:bottom w:val="nil"/>
              <w:right w:val="nil"/>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1802" w:type="dxa"/>
            <w:gridSpan w:val="2"/>
            <w:tcBorders>
              <w:top w:val="nil"/>
              <w:left w:val="nil"/>
              <w:bottom w:val="nil"/>
              <w:right w:val="nil"/>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1801" w:type="dxa"/>
            <w:gridSpan w:val="2"/>
            <w:tcBorders>
              <w:top w:val="nil"/>
              <w:left w:val="nil"/>
              <w:bottom w:val="nil"/>
              <w:right w:val="nil"/>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2449" w:type="dxa"/>
            <w:gridSpan w:val="2"/>
            <w:tcBorders>
              <w:top w:val="nil"/>
              <w:left w:val="nil"/>
              <w:bottom w:val="nil"/>
              <w:right w:val="nil"/>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4333" w:type="dxa"/>
            <w:gridSpan w:val="5"/>
            <w:tcBorders>
              <w:top w:val="nil"/>
              <w:left w:val="nil"/>
              <w:bottom w:val="nil"/>
              <w:right w:val="nil"/>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lef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部门：许昌市建安区建筑工程标准定额管理站</w:t>
            </w:r>
          </w:p>
        </w:tc>
        <w:tc>
          <w:tcPr>
            <w:tcW w:w="1802" w:type="dxa"/>
            <w:gridSpan w:val="2"/>
            <w:tcBorders>
              <w:top w:val="nil"/>
              <w:left w:val="nil"/>
              <w:bottom w:val="nil"/>
              <w:right w:val="nil"/>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left"/>
              <w:rPr>
                <w:rFonts w:hint="eastAsia" w:ascii="宋体" w:hAnsi="宋体" w:eastAsia="宋体" w:cs="宋体"/>
                <w:i w:val="0"/>
                <w:color w:val="000000"/>
                <w:sz w:val="20"/>
                <w:szCs w:val="20"/>
                <w:highlight w:val="none"/>
                <w:u w:val="none"/>
              </w:rPr>
            </w:pPr>
          </w:p>
        </w:tc>
        <w:tc>
          <w:tcPr>
            <w:tcW w:w="1801" w:type="dxa"/>
            <w:gridSpan w:val="2"/>
            <w:tcBorders>
              <w:top w:val="nil"/>
              <w:left w:val="nil"/>
              <w:bottom w:val="nil"/>
              <w:right w:val="nil"/>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center"/>
              <w:rPr>
                <w:rFonts w:hint="eastAsia" w:ascii="宋体" w:hAnsi="宋体" w:eastAsia="宋体" w:cs="宋体"/>
                <w:i w:val="0"/>
                <w:color w:val="000000"/>
                <w:sz w:val="20"/>
                <w:szCs w:val="20"/>
                <w:highlight w:val="none"/>
                <w:u w:val="none"/>
              </w:rPr>
            </w:pPr>
          </w:p>
        </w:tc>
        <w:tc>
          <w:tcPr>
            <w:tcW w:w="1802" w:type="dxa"/>
            <w:gridSpan w:val="2"/>
            <w:tcBorders>
              <w:top w:val="nil"/>
              <w:left w:val="nil"/>
              <w:bottom w:val="nil"/>
              <w:right w:val="nil"/>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p>
        </w:tc>
        <w:tc>
          <w:tcPr>
            <w:tcW w:w="1801" w:type="dxa"/>
            <w:gridSpan w:val="2"/>
            <w:tcBorders>
              <w:top w:val="nil"/>
              <w:left w:val="nil"/>
              <w:bottom w:val="nil"/>
              <w:right w:val="nil"/>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p>
        </w:tc>
        <w:tc>
          <w:tcPr>
            <w:tcW w:w="2449" w:type="dxa"/>
            <w:gridSpan w:val="2"/>
            <w:tcBorders>
              <w:top w:val="nil"/>
              <w:left w:val="nil"/>
              <w:bottom w:val="nil"/>
              <w:right w:val="nil"/>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2559" w:type="dxa"/>
            <w:gridSpan w:val="4"/>
            <w:tcBorders>
              <w:top w:val="single" w:color="000000" w:sz="8" w:space="0"/>
              <w:left w:val="single" w:color="000000" w:sz="8" w:space="0"/>
              <w:bottom w:val="single" w:color="000000" w:sz="4" w:space="0"/>
              <w:right w:val="nil"/>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项    目</w:t>
            </w:r>
          </w:p>
        </w:tc>
        <w:tc>
          <w:tcPr>
            <w:tcW w:w="1904" w:type="dxa"/>
            <w:gridSpan w:val="2"/>
            <w:vMerge w:val="restart"/>
            <w:tcBorders>
              <w:top w:val="single" w:color="000000" w:sz="8"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本年支出合计</w:t>
            </w:r>
          </w:p>
        </w:tc>
        <w:tc>
          <w:tcPr>
            <w:tcW w:w="1904" w:type="dxa"/>
            <w:gridSpan w:val="2"/>
            <w:vMerge w:val="restart"/>
            <w:tcBorders>
              <w:top w:val="single" w:color="000000" w:sz="8"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基本支出</w:t>
            </w:r>
          </w:p>
        </w:tc>
        <w:tc>
          <w:tcPr>
            <w:tcW w:w="1904" w:type="dxa"/>
            <w:gridSpan w:val="2"/>
            <w:vMerge w:val="restart"/>
            <w:tcBorders>
              <w:top w:val="single" w:color="000000" w:sz="8"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项目支出</w:t>
            </w:r>
          </w:p>
        </w:tc>
        <w:tc>
          <w:tcPr>
            <w:tcW w:w="1904" w:type="dxa"/>
            <w:gridSpan w:val="2"/>
            <w:vMerge w:val="restart"/>
            <w:tcBorders>
              <w:top w:val="single" w:color="000000" w:sz="8"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上缴上级支出</w:t>
            </w:r>
          </w:p>
        </w:tc>
        <w:tc>
          <w:tcPr>
            <w:tcW w:w="1904" w:type="dxa"/>
            <w:gridSpan w:val="2"/>
            <w:vMerge w:val="restart"/>
            <w:tcBorders>
              <w:top w:val="single" w:color="000000" w:sz="8"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经营支出</w:t>
            </w:r>
          </w:p>
        </w:tc>
        <w:tc>
          <w:tcPr>
            <w:tcW w:w="1909" w:type="dxa"/>
            <w:vMerge w:val="restart"/>
            <w:tcBorders>
              <w:top w:val="single" w:color="000000" w:sz="8" w:space="0"/>
              <w:left w:val="single" w:color="000000" w:sz="4" w:space="0"/>
              <w:bottom w:val="single" w:color="000000" w:sz="4" w:space="0"/>
              <w:right w:val="single" w:color="000000" w:sz="8"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183" w:type="dxa"/>
            <w:gridSpan w:val="2"/>
            <w:vMerge w:val="restart"/>
            <w:tcBorders>
              <w:top w:val="single" w:color="000000" w:sz="4" w:space="0"/>
              <w:left w:val="single" w:color="000000" w:sz="8" w:space="0"/>
              <w:bottom w:val="single" w:color="000000" w:sz="4" w:space="0"/>
              <w:right w:val="nil"/>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功能分类</w:t>
            </w:r>
          </w:p>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科目编码</w:t>
            </w:r>
          </w:p>
        </w:tc>
        <w:tc>
          <w:tcPr>
            <w:tcW w:w="1376"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科目名称</w:t>
            </w:r>
          </w:p>
        </w:tc>
        <w:tc>
          <w:tcPr>
            <w:tcW w:w="1904" w:type="dxa"/>
            <w:gridSpan w:val="2"/>
            <w:vMerge w:val="continue"/>
            <w:tcBorders>
              <w:top w:val="single" w:color="000000" w:sz="8"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center"/>
              <w:rPr>
                <w:rFonts w:hint="eastAsia" w:ascii="宋体" w:hAnsi="宋体" w:eastAsia="宋体" w:cs="宋体"/>
                <w:i w:val="0"/>
                <w:color w:val="000000"/>
                <w:sz w:val="20"/>
                <w:szCs w:val="20"/>
                <w:highlight w:val="none"/>
                <w:u w:val="none"/>
              </w:rPr>
            </w:pPr>
          </w:p>
        </w:tc>
        <w:tc>
          <w:tcPr>
            <w:tcW w:w="1904" w:type="dxa"/>
            <w:gridSpan w:val="2"/>
            <w:vMerge w:val="continue"/>
            <w:tcBorders>
              <w:top w:val="single" w:color="000000" w:sz="8"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center"/>
              <w:rPr>
                <w:rFonts w:hint="eastAsia" w:ascii="宋体" w:hAnsi="宋体" w:eastAsia="宋体" w:cs="宋体"/>
                <w:i w:val="0"/>
                <w:color w:val="000000"/>
                <w:sz w:val="20"/>
                <w:szCs w:val="20"/>
                <w:highlight w:val="none"/>
                <w:u w:val="none"/>
              </w:rPr>
            </w:pPr>
          </w:p>
        </w:tc>
        <w:tc>
          <w:tcPr>
            <w:tcW w:w="1904" w:type="dxa"/>
            <w:gridSpan w:val="2"/>
            <w:vMerge w:val="continue"/>
            <w:tcBorders>
              <w:top w:val="single" w:color="000000" w:sz="8"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center"/>
              <w:rPr>
                <w:rFonts w:hint="eastAsia" w:ascii="宋体" w:hAnsi="宋体" w:eastAsia="宋体" w:cs="宋体"/>
                <w:i w:val="0"/>
                <w:color w:val="000000"/>
                <w:sz w:val="20"/>
                <w:szCs w:val="20"/>
                <w:highlight w:val="none"/>
                <w:u w:val="none"/>
              </w:rPr>
            </w:pPr>
          </w:p>
        </w:tc>
        <w:tc>
          <w:tcPr>
            <w:tcW w:w="1904" w:type="dxa"/>
            <w:gridSpan w:val="2"/>
            <w:vMerge w:val="continue"/>
            <w:tcBorders>
              <w:top w:val="single" w:color="000000" w:sz="8"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center"/>
              <w:rPr>
                <w:rFonts w:hint="eastAsia" w:ascii="宋体" w:hAnsi="宋体" w:eastAsia="宋体" w:cs="宋体"/>
                <w:i w:val="0"/>
                <w:color w:val="000000"/>
                <w:sz w:val="20"/>
                <w:szCs w:val="20"/>
                <w:highlight w:val="none"/>
                <w:u w:val="none"/>
              </w:rPr>
            </w:pPr>
          </w:p>
        </w:tc>
        <w:tc>
          <w:tcPr>
            <w:tcW w:w="1904" w:type="dxa"/>
            <w:gridSpan w:val="2"/>
            <w:vMerge w:val="continue"/>
            <w:tcBorders>
              <w:top w:val="single" w:color="000000" w:sz="8"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center"/>
              <w:rPr>
                <w:rFonts w:hint="eastAsia" w:ascii="宋体" w:hAnsi="宋体" w:eastAsia="宋体" w:cs="宋体"/>
                <w:i w:val="0"/>
                <w:color w:val="000000"/>
                <w:sz w:val="20"/>
                <w:szCs w:val="20"/>
                <w:highlight w:val="none"/>
                <w:u w:val="none"/>
              </w:rPr>
            </w:pPr>
          </w:p>
        </w:tc>
        <w:tc>
          <w:tcPr>
            <w:tcW w:w="1909" w:type="dxa"/>
            <w:vMerge w:val="continue"/>
            <w:tcBorders>
              <w:top w:val="single" w:color="000000" w:sz="8" w:space="0"/>
              <w:left w:val="single" w:color="000000" w:sz="4" w:space="0"/>
              <w:bottom w:val="single" w:color="000000" w:sz="4" w:space="0"/>
              <w:right w:val="single" w:color="000000" w:sz="8"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cente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183" w:type="dxa"/>
            <w:gridSpan w:val="2"/>
            <w:vMerge w:val="continue"/>
            <w:tcBorders>
              <w:top w:val="single" w:color="000000" w:sz="4" w:space="0"/>
              <w:left w:val="single" w:color="000000" w:sz="8" w:space="0"/>
              <w:bottom w:val="single" w:color="000000" w:sz="4" w:space="0"/>
              <w:right w:val="nil"/>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center"/>
              <w:rPr>
                <w:rFonts w:hint="eastAsia" w:ascii="宋体" w:hAnsi="宋体" w:eastAsia="宋体" w:cs="宋体"/>
                <w:i w:val="0"/>
                <w:color w:val="000000"/>
                <w:sz w:val="20"/>
                <w:szCs w:val="20"/>
                <w:highlight w:val="none"/>
                <w:u w:val="none"/>
              </w:rPr>
            </w:pPr>
          </w:p>
        </w:tc>
        <w:tc>
          <w:tcPr>
            <w:tcW w:w="137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center"/>
              <w:rPr>
                <w:rFonts w:hint="eastAsia" w:ascii="宋体" w:hAnsi="宋体" w:eastAsia="宋体" w:cs="宋体"/>
                <w:i w:val="0"/>
                <w:color w:val="000000"/>
                <w:sz w:val="20"/>
                <w:szCs w:val="20"/>
                <w:highlight w:val="none"/>
                <w:u w:val="none"/>
              </w:rPr>
            </w:pPr>
          </w:p>
        </w:tc>
        <w:tc>
          <w:tcPr>
            <w:tcW w:w="1904" w:type="dxa"/>
            <w:gridSpan w:val="2"/>
            <w:vMerge w:val="continue"/>
            <w:tcBorders>
              <w:top w:val="single" w:color="000000" w:sz="8"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center"/>
              <w:rPr>
                <w:rFonts w:hint="eastAsia" w:ascii="宋体" w:hAnsi="宋体" w:eastAsia="宋体" w:cs="宋体"/>
                <w:i w:val="0"/>
                <w:color w:val="000000"/>
                <w:sz w:val="20"/>
                <w:szCs w:val="20"/>
                <w:highlight w:val="none"/>
                <w:u w:val="none"/>
              </w:rPr>
            </w:pPr>
          </w:p>
        </w:tc>
        <w:tc>
          <w:tcPr>
            <w:tcW w:w="1904" w:type="dxa"/>
            <w:gridSpan w:val="2"/>
            <w:vMerge w:val="continue"/>
            <w:tcBorders>
              <w:top w:val="single" w:color="000000" w:sz="8"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center"/>
              <w:rPr>
                <w:rFonts w:hint="eastAsia" w:ascii="宋体" w:hAnsi="宋体" w:eastAsia="宋体" w:cs="宋体"/>
                <w:i w:val="0"/>
                <w:color w:val="000000"/>
                <w:sz w:val="20"/>
                <w:szCs w:val="20"/>
                <w:highlight w:val="none"/>
                <w:u w:val="none"/>
              </w:rPr>
            </w:pPr>
          </w:p>
        </w:tc>
        <w:tc>
          <w:tcPr>
            <w:tcW w:w="1904" w:type="dxa"/>
            <w:gridSpan w:val="2"/>
            <w:vMerge w:val="continue"/>
            <w:tcBorders>
              <w:top w:val="single" w:color="000000" w:sz="8"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center"/>
              <w:rPr>
                <w:rFonts w:hint="eastAsia" w:ascii="宋体" w:hAnsi="宋体" w:eastAsia="宋体" w:cs="宋体"/>
                <w:i w:val="0"/>
                <w:color w:val="000000"/>
                <w:sz w:val="20"/>
                <w:szCs w:val="20"/>
                <w:highlight w:val="none"/>
                <w:u w:val="none"/>
              </w:rPr>
            </w:pPr>
          </w:p>
        </w:tc>
        <w:tc>
          <w:tcPr>
            <w:tcW w:w="1904" w:type="dxa"/>
            <w:gridSpan w:val="2"/>
            <w:vMerge w:val="continue"/>
            <w:tcBorders>
              <w:top w:val="single" w:color="000000" w:sz="8"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center"/>
              <w:rPr>
                <w:rFonts w:hint="eastAsia" w:ascii="宋体" w:hAnsi="宋体" w:eastAsia="宋体" w:cs="宋体"/>
                <w:i w:val="0"/>
                <w:color w:val="000000"/>
                <w:sz w:val="20"/>
                <w:szCs w:val="20"/>
                <w:highlight w:val="none"/>
                <w:u w:val="none"/>
              </w:rPr>
            </w:pPr>
          </w:p>
        </w:tc>
        <w:tc>
          <w:tcPr>
            <w:tcW w:w="1904" w:type="dxa"/>
            <w:gridSpan w:val="2"/>
            <w:vMerge w:val="continue"/>
            <w:tcBorders>
              <w:top w:val="single" w:color="000000" w:sz="8"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center"/>
              <w:rPr>
                <w:rFonts w:hint="eastAsia" w:ascii="宋体" w:hAnsi="宋体" w:eastAsia="宋体" w:cs="宋体"/>
                <w:i w:val="0"/>
                <w:color w:val="000000"/>
                <w:sz w:val="20"/>
                <w:szCs w:val="20"/>
                <w:highlight w:val="none"/>
                <w:u w:val="none"/>
              </w:rPr>
            </w:pPr>
          </w:p>
        </w:tc>
        <w:tc>
          <w:tcPr>
            <w:tcW w:w="1909" w:type="dxa"/>
            <w:vMerge w:val="continue"/>
            <w:tcBorders>
              <w:top w:val="single" w:color="000000" w:sz="8" w:space="0"/>
              <w:left w:val="single" w:color="000000" w:sz="4" w:space="0"/>
              <w:bottom w:val="single" w:color="000000" w:sz="4" w:space="0"/>
              <w:right w:val="single" w:color="000000" w:sz="8"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cente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2559" w:type="dxa"/>
            <w:gridSpan w:val="4"/>
            <w:tcBorders>
              <w:top w:val="single" w:color="000000" w:sz="4" w:space="0"/>
              <w:left w:val="single" w:color="000000" w:sz="8"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栏次</w:t>
            </w:r>
          </w:p>
        </w:tc>
        <w:tc>
          <w:tcPr>
            <w:tcW w:w="1904"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1904"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w:t>
            </w:r>
          </w:p>
        </w:tc>
        <w:tc>
          <w:tcPr>
            <w:tcW w:w="1904"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w:t>
            </w:r>
          </w:p>
        </w:tc>
        <w:tc>
          <w:tcPr>
            <w:tcW w:w="1904"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4</w:t>
            </w:r>
          </w:p>
        </w:tc>
        <w:tc>
          <w:tcPr>
            <w:tcW w:w="1904"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5</w:t>
            </w:r>
          </w:p>
        </w:tc>
        <w:tc>
          <w:tcPr>
            <w:tcW w:w="1909" w:type="dxa"/>
            <w:tcBorders>
              <w:top w:val="single" w:color="000000" w:sz="4" w:space="0"/>
              <w:left w:val="single" w:color="000000" w:sz="4" w:space="0"/>
              <w:bottom w:val="single" w:color="000000" w:sz="4" w:space="0"/>
              <w:right w:val="single" w:color="000000" w:sz="8"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2559" w:type="dxa"/>
            <w:gridSpan w:val="4"/>
            <w:tcBorders>
              <w:top w:val="nil"/>
              <w:left w:val="single" w:color="000000" w:sz="8"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合计</w:t>
            </w:r>
          </w:p>
        </w:tc>
        <w:tc>
          <w:tcPr>
            <w:tcW w:w="190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210.22</w:t>
            </w:r>
          </w:p>
        </w:tc>
        <w:tc>
          <w:tcPr>
            <w:tcW w:w="190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210.22</w:t>
            </w:r>
          </w:p>
        </w:tc>
        <w:tc>
          <w:tcPr>
            <w:tcW w:w="190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p>
        </w:tc>
        <w:tc>
          <w:tcPr>
            <w:tcW w:w="190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p>
        </w:tc>
        <w:tc>
          <w:tcPr>
            <w:tcW w:w="190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p>
        </w:tc>
        <w:tc>
          <w:tcPr>
            <w:tcW w:w="1909"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183" w:type="dxa"/>
            <w:gridSpan w:val="2"/>
            <w:tcBorders>
              <w:top w:val="single" w:color="000000" w:sz="4" w:space="0"/>
              <w:left w:val="single" w:color="000000" w:sz="8" w:space="0"/>
              <w:bottom w:val="single" w:color="000000" w:sz="4" w:space="0"/>
              <w:right w:val="nil"/>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208</w:t>
            </w: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lef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rPr>
              <w:t>社会保障和就业支出</w:t>
            </w:r>
          </w:p>
        </w:tc>
        <w:tc>
          <w:tcPr>
            <w:tcW w:w="190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6.54</w:t>
            </w:r>
          </w:p>
        </w:tc>
        <w:tc>
          <w:tcPr>
            <w:tcW w:w="190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6.54</w:t>
            </w:r>
          </w:p>
        </w:tc>
        <w:tc>
          <w:tcPr>
            <w:tcW w:w="190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p>
        </w:tc>
        <w:tc>
          <w:tcPr>
            <w:tcW w:w="190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p>
        </w:tc>
        <w:tc>
          <w:tcPr>
            <w:tcW w:w="190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p>
        </w:tc>
        <w:tc>
          <w:tcPr>
            <w:tcW w:w="1909"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183" w:type="dxa"/>
            <w:gridSpan w:val="2"/>
            <w:tcBorders>
              <w:top w:val="single" w:color="000000" w:sz="4" w:space="0"/>
              <w:left w:val="single" w:color="000000" w:sz="8" w:space="0"/>
              <w:bottom w:val="single" w:color="000000" w:sz="4" w:space="0"/>
              <w:right w:val="nil"/>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20805</w:t>
            </w: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lef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rPr>
              <w:t>行政事业单位养老支出</w:t>
            </w:r>
          </w:p>
        </w:tc>
        <w:tc>
          <w:tcPr>
            <w:tcW w:w="190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6.54</w:t>
            </w:r>
          </w:p>
        </w:tc>
        <w:tc>
          <w:tcPr>
            <w:tcW w:w="190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6.54</w:t>
            </w:r>
          </w:p>
        </w:tc>
        <w:tc>
          <w:tcPr>
            <w:tcW w:w="190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p>
        </w:tc>
        <w:tc>
          <w:tcPr>
            <w:tcW w:w="190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p>
        </w:tc>
        <w:tc>
          <w:tcPr>
            <w:tcW w:w="190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p>
        </w:tc>
        <w:tc>
          <w:tcPr>
            <w:tcW w:w="1909"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183" w:type="dxa"/>
            <w:gridSpan w:val="2"/>
            <w:tcBorders>
              <w:top w:val="single" w:color="000000" w:sz="4" w:space="0"/>
              <w:left w:val="single" w:color="000000" w:sz="8" w:space="0"/>
              <w:bottom w:val="single" w:color="000000" w:sz="4" w:space="0"/>
              <w:right w:val="nil"/>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2080502</w:t>
            </w: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lef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rPr>
              <w:t>事业单位离退休</w:t>
            </w:r>
          </w:p>
        </w:tc>
        <w:tc>
          <w:tcPr>
            <w:tcW w:w="190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6.54</w:t>
            </w:r>
          </w:p>
        </w:tc>
        <w:tc>
          <w:tcPr>
            <w:tcW w:w="190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6.54</w:t>
            </w:r>
          </w:p>
        </w:tc>
        <w:tc>
          <w:tcPr>
            <w:tcW w:w="190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p>
        </w:tc>
        <w:tc>
          <w:tcPr>
            <w:tcW w:w="190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p>
        </w:tc>
        <w:tc>
          <w:tcPr>
            <w:tcW w:w="190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p>
        </w:tc>
        <w:tc>
          <w:tcPr>
            <w:tcW w:w="1909"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183" w:type="dxa"/>
            <w:gridSpan w:val="2"/>
            <w:tcBorders>
              <w:top w:val="single" w:color="000000" w:sz="4" w:space="0"/>
              <w:left w:val="single" w:color="000000" w:sz="8" w:space="0"/>
              <w:bottom w:val="single" w:color="000000" w:sz="4" w:space="0"/>
              <w:right w:val="nil"/>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212</w:t>
            </w: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lef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rPr>
              <w:t>城乡社区支出</w:t>
            </w:r>
          </w:p>
        </w:tc>
        <w:tc>
          <w:tcPr>
            <w:tcW w:w="190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207.76</w:t>
            </w:r>
          </w:p>
        </w:tc>
        <w:tc>
          <w:tcPr>
            <w:tcW w:w="190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207.76</w:t>
            </w:r>
          </w:p>
        </w:tc>
        <w:tc>
          <w:tcPr>
            <w:tcW w:w="190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p>
        </w:tc>
        <w:tc>
          <w:tcPr>
            <w:tcW w:w="190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p>
        </w:tc>
        <w:tc>
          <w:tcPr>
            <w:tcW w:w="190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p>
        </w:tc>
        <w:tc>
          <w:tcPr>
            <w:tcW w:w="1909"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183" w:type="dxa"/>
            <w:gridSpan w:val="2"/>
            <w:tcBorders>
              <w:top w:val="single" w:color="000000" w:sz="4" w:space="0"/>
              <w:left w:val="single" w:color="000000" w:sz="8" w:space="0"/>
              <w:bottom w:val="single" w:color="000000" w:sz="4" w:space="0"/>
              <w:right w:val="nil"/>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21201</w:t>
            </w: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lef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rPr>
              <w:t>城乡社区管理事务</w:t>
            </w:r>
          </w:p>
        </w:tc>
        <w:tc>
          <w:tcPr>
            <w:tcW w:w="190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207.76</w:t>
            </w:r>
          </w:p>
        </w:tc>
        <w:tc>
          <w:tcPr>
            <w:tcW w:w="190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207.76</w:t>
            </w:r>
          </w:p>
        </w:tc>
        <w:tc>
          <w:tcPr>
            <w:tcW w:w="190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p>
        </w:tc>
        <w:tc>
          <w:tcPr>
            <w:tcW w:w="190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p>
        </w:tc>
        <w:tc>
          <w:tcPr>
            <w:tcW w:w="190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p>
        </w:tc>
        <w:tc>
          <w:tcPr>
            <w:tcW w:w="1909"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183" w:type="dxa"/>
            <w:gridSpan w:val="2"/>
            <w:tcBorders>
              <w:top w:val="single" w:color="000000" w:sz="4" w:space="0"/>
              <w:left w:val="single" w:color="000000" w:sz="8" w:space="0"/>
              <w:bottom w:val="single" w:color="000000" w:sz="8" w:space="0"/>
              <w:right w:val="nil"/>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lef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2120105</w:t>
            </w:r>
          </w:p>
        </w:tc>
        <w:tc>
          <w:tcPr>
            <w:tcW w:w="1376" w:type="dxa"/>
            <w:gridSpan w:val="2"/>
            <w:tcBorders>
              <w:top w:val="single" w:color="000000" w:sz="4" w:space="0"/>
              <w:left w:val="single" w:color="000000" w:sz="4" w:space="0"/>
              <w:bottom w:val="single" w:color="000000" w:sz="8"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lef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rPr>
              <w:t>工程建设标准规范编制与监管</w:t>
            </w:r>
          </w:p>
        </w:tc>
        <w:tc>
          <w:tcPr>
            <w:tcW w:w="1904" w:type="dxa"/>
            <w:gridSpan w:val="2"/>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207.76</w:t>
            </w:r>
          </w:p>
        </w:tc>
        <w:tc>
          <w:tcPr>
            <w:tcW w:w="1904" w:type="dxa"/>
            <w:gridSpan w:val="2"/>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207.76</w:t>
            </w:r>
          </w:p>
        </w:tc>
        <w:tc>
          <w:tcPr>
            <w:tcW w:w="1904" w:type="dxa"/>
            <w:gridSpan w:val="2"/>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p>
        </w:tc>
        <w:tc>
          <w:tcPr>
            <w:tcW w:w="1904" w:type="dxa"/>
            <w:gridSpan w:val="2"/>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p>
        </w:tc>
        <w:tc>
          <w:tcPr>
            <w:tcW w:w="1904" w:type="dxa"/>
            <w:gridSpan w:val="2"/>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p>
        </w:tc>
        <w:tc>
          <w:tcPr>
            <w:tcW w:w="1909" w:type="dxa"/>
            <w:tcBorders>
              <w:top w:val="single" w:color="000000" w:sz="4" w:space="0"/>
              <w:left w:val="single" w:color="000000" w:sz="4"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13988" w:type="dxa"/>
            <w:gridSpan w:val="15"/>
            <w:tcBorders>
              <w:top w:val="single" w:color="000000" w:sz="8" w:space="0"/>
              <w:left w:val="nil"/>
              <w:bottom w:val="nil"/>
              <w:right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注：本表反映部门本年度各项支出情况。本表金额转换为万元时，因四舍五入可能存在尾差。</w:t>
            </w:r>
          </w:p>
        </w:tc>
      </w:tr>
    </w:tbl>
    <w:p>
      <w:pPr>
        <w:keepNext w:val="0"/>
        <w:keepLines w:val="0"/>
        <w:pageBreakBefore w:val="0"/>
        <w:kinsoku/>
        <w:wordWrap/>
        <w:overflowPunct/>
        <w:topLinePunct w:val="0"/>
        <w:autoSpaceDE/>
        <w:autoSpaceDN/>
        <w:bidi w:val="0"/>
        <w:adjustRightInd/>
        <w:snapToGrid/>
        <w:spacing w:line="220" w:lineRule="exact"/>
        <w:rPr>
          <w:rFonts w:hint="eastAsia" w:ascii="仿宋_GB2312" w:hAnsi="仿宋_GB2312" w:eastAsia="仿宋_GB2312" w:cs="仿宋_GB2312"/>
          <w:color w:val="auto"/>
          <w:sz w:val="32"/>
          <w:szCs w:val="32"/>
          <w:highlight w:val="none"/>
        </w:rPr>
        <w:sectPr>
          <w:pgSz w:w="16838" w:h="11906" w:orient="landscape"/>
          <w:pgMar w:top="1800" w:right="1440" w:bottom="1800" w:left="1440" w:header="720" w:footer="720" w:gutter="0"/>
          <w:pgNumType w:fmt="numberInDash"/>
          <w:cols w:space="720" w:num="1"/>
          <w:docGrid w:type="lines" w:linePitch="312" w:charSpace="0"/>
        </w:sectPr>
      </w:pP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94"/>
        <w:gridCol w:w="720"/>
        <w:gridCol w:w="1210"/>
        <w:gridCol w:w="3400"/>
        <w:gridCol w:w="597"/>
        <w:gridCol w:w="708"/>
        <w:gridCol w:w="1343"/>
        <w:gridCol w:w="336"/>
        <w:gridCol w:w="16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13988" w:type="dxa"/>
            <w:gridSpan w:val="9"/>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highlight w:val="none"/>
                <w:u w:val="none"/>
              </w:rPr>
            </w:pPr>
            <w:r>
              <w:rPr>
                <w:rFonts w:hint="eastAsia" w:ascii="华文中宋" w:hAnsi="华文中宋" w:eastAsia="华文中宋" w:cs="华文中宋"/>
                <w:i w:val="0"/>
                <w:color w:val="000000"/>
                <w:kern w:val="0"/>
                <w:sz w:val="32"/>
                <w:szCs w:val="32"/>
                <w:highlight w:val="none"/>
                <w:u w:val="none"/>
                <w:lang w:val="en-US" w:eastAsia="zh-CN" w:bidi="ar"/>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9" w:hRule="atLeast"/>
        </w:trPr>
        <w:tc>
          <w:tcPr>
            <w:tcW w:w="3994" w:type="dxa"/>
            <w:tcBorders>
              <w:top w:val="nil"/>
              <w:left w:val="nil"/>
              <w:bottom w:val="nil"/>
              <w:right w:val="nil"/>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720" w:type="dxa"/>
            <w:tcBorders>
              <w:top w:val="nil"/>
              <w:left w:val="nil"/>
              <w:bottom w:val="nil"/>
              <w:right w:val="nil"/>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1210" w:type="dxa"/>
            <w:tcBorders>
              <w:top w:val="nil"/>
              <w:left w:val="nil"/>
              <w:bottom w:val="nil"/>
              <w:right w:val="nil"/>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3400" w:type="dxa"/>
            <w:tcBorders>
              <w:top w:val="nil"/>
              <w:left w:val="nil"/>
              <w:bottom w:val="nil"/>
              <w:right w:val="nil"/>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597" w:type="dxa"/>
            <w:tcBorders>
              <w:top w:val="nil"/>
              <w:left w:val="nil"/>
              <w:bottom w:val="nil"/>
              <w:right w:val="nil"/>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708" w:type="dxa"/>
            <w:tcBorders>
              <w:top w:val="nil"/>
              <w:left w:val="nil"/>
              <w:bottom w:val="nil"/>
              <w:right w:val="nil"/>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1343" w:type="dxa"/>
            <w:tcBorders>
              <w:top w:val="nil"/>
              <w:left w:val="nil"/>
              <w:bottom w:val="nil"/>
              <w:right w:val="nil"/>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2016" w:type="dxa"/>
            <w:gridSpan w:val="2"/>
            <w:tcBorders>
              <w:top w:val="nil"/>
              <w:left w:val="nil"/>
              <w:bottom w:val="nil"/>
              <w:right w:val="nil"/>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3994" w:type="dxa"/>
            <w:tcBorders>
              <w:top w:val="nil"/>
              <w:left w:val="nil"/>
              <w:bottom w:val="nil"/>
              <w:right w:val="nil"/>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部门：许昌市建安区建筑工程标准定额管理站</w:t>
            </w:r>
          </w:p>
        </w:tc>
        <w:tc>
          <w:tcPr>
            <w:tcW w:w="720" w:type="dxa"/>
            <w:tcBorders>
              <w:top w:val="nil"/>
              <w:left w:val="nil"/>
              <w:bottom w:val="nil"/>
              <w:right w:val="nil"/>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1210" w:type="dxa"/>
            <w:tcBorders>
              <w:top w:val="nil"/>
              <w:left w:val="nil"/>
              <w:bottom w:val="nil"/>
              <w:right w:val="nil"/>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3400" w:type="dxa"/>
            <w:tcBorders>
              <w:top w:val="nil"/>
              <w:left w:val="nil"/>
              <w:bottom w:val="nil"/>
              <w:right w:val="nil"/>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597" w:type="dxa"/>
            <w:tcBorders>
              <w:top w:val="nil"/>
              <w:left w:val="nil"/>
              <w:bottom w:val="nil"/>
              <w:right w:val="nil"/>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708" w:type="dxa"/>
            <w:tcBorders>
              <w:top w:val="nil"/>
              <w:left w:val="nil"/>
              <w:bottom w:val="nil"/>
              <w:right w:val="nil"/>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1343" w:type="dxa"/>
            <w:tcBorders>
              <w:top w:val="nil"/>
              <w:left w:val="nil"/>
              <w:bottom w:val="nil"/>
              <w:right w:val="nil"/>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2016" w:type="dxa"/>
            <w:gridSpan w:val="2"/>
            <w:tcBorders>
              <w:top w:val="nil"/>
              <w:left w:val="nil"/>
              <w:bottom w:val="nil"/>
              <w:right w:val="nil"/>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5924" w:type="dxa"/>
            <w:gridSpan w:val="3"/>
            <w:tcBorders>
              <w:top w:val="single" w:color="000000" w:sz="8" w:space="0"/>
              <w:left w:val="single" w:color="000000" w:sz="8"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收入</w:t>
            </w:r>
          </w:p>
        </w:tc>
        <w:tc>
          <w:tcPr>
            <w:tcW w:w="8064" w:type="dxa"/>
            <w:gridSpan w:val="6"/>
            <w:tcBorders>
              <w:top w:val="single" w:color="000000" w:sz="8"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3994" w:type="dxa"/>
            <w:tcBorders>
              <w:top w:val="single" w:color="000000" w:sz="4" w:space="0"/>
              <w:left w:val="single" w:color="000000" w:sz="8"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项    目</w:t>
            </w: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行次</w:t>
            </w:r>
          </w:p>
        </w:tc>
        <w:tc>
          <w:tcPr>
            <w:tcW w:w="12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金额</w:t>
            </w:r>
          </w:p>
        </w:tc>
        <w:tc>
          <w:tcPr>
            <w:tcW w:w="34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项    目</w:t>
            </w: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行次</w:t>
            </w: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合计</w:t>
            </w:r>
          </w:p>
        </w:tc>
        <w:tc>
          <w:tcPr>
            <w:tcW w:w="167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一般公共预算财政拨款</w:t>
            </w:r>
          </w:p>
        </w:tc>
        <w:tc>
          <w:tcPr>
            <w:tcW w:w="1680"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政府性基金预算财政拨款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3994" w:type="dxa"/>
            <w:tcBorders>
              <w:top w:val="single" w:color="000000" w:sz="4" w:space="0"/>
              <w:left w:val="single" w:color="000000" w:sz="8"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栏    次</w:t>
            </w: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34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栏    次</w:t>
            </w: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w:t>
            </w: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w:t>
            </w:r>
          </w:p>
        </w:tc>
        <w:tc>
          <w:tcPr>
            <w:tcW w:w="1680" w:type="dxa"/>
            <w:tcBorders>
              <w:top w:val="single" w:color="000000" w:sz="4" w:space="0"/>
              <w:left w:val="single" w:color="000000" w:sz="4" w:space="0"/>
              <w:bottom w:val="single" w:color="000000" w:sz="4" w:space="0"/>
              <w:right w:val="single" w:color="000000" w:sz="8"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3994" w:type="dxa"/>
            <w:tcBorders>
              <w:top w:val="single" w:color="000000" w:sz="4" w:space="0"/>
              <w:left w:val="single" w:color="000000" w:sz="8"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一、一般公共预算财政拨款</w:t>
            </w: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righ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213.39</w:t>
            </w:r>
          </w:p>
        </w:tc>
        <w:tc>
          <w:tcPr>
            <w:tcW w:w="34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一、一般公共服务支出</w:t>
            </w: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15</w:t>
            </w:r>
          </w:p>
        </w:tc>
        <w:tc>
          <w:tcPr>
            <w:tcW w:w="708" w:type="dxa"/>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679" w:type="dxa"/>
            <w:gridSpan w:val="2"/>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680"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3994" w:type="dxa"/>
            <w:tcBorders>
              <w:top w:val="single" w:color="000000" w:sz="4" w:space="0"/>
              <w:left w:val="single" w:color="000000" w:sz="8"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二、政府性基金预算财政拨款</w:t>
            </w: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34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二、外交支出</w:t>
            </w: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16</w:t>
            </w:r>
          </w:p>
        </w:tc>
        <w:tc>
          <w:tcPr>
            <w:tcW w:w="708" w:type="dxa"/>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679" w:type="dxa"/>
            <w:gridSpan w:val="2"/>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680"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3994" w:type="dxa"/>
            <w:tcBorders>
              <w:top w:val="single" w:color="000000" w:sz="4" w:space="0"/>
              <w:left w:val="single" w:color="000000" w:sz="8" w:space="0"/>
              <w:bottom w:val="single" w:color="000000" w:sz="4" w:space="0"/>
              <w:right w:val="single" w:color="000000" w:sz="4" w:space="0"/>
            </w:tcBorders>
            <w:shd w:val="clear" w:color="auto" w:fill="FFFFFF"/>
            <w:noWrap w:val="0"/>
            <w:tcMar>
              <w:top w:w="15" w:type="dxa"/>
              <w:left w:w="15" w:type="dxa"/>
              <w:right w:w="15" w:type="dxa"/>
            </w:tcMar>
            <w:vAlign w:val="center"/>
          </w:tcPr>
          <w:p>
            <w:pPr>
              <w:jc w:val="left"/>
              <w:rPr>
                <w:rFonts w:hint="eastAsia" w:ascii="宋体" w:hAnsi="宋体" w:eastAsia="宋体" w:cs="宋体"/>
                <w:i w:val="0"/>
                <w:color w:val="000000"/>
                <w:sz w:val="20"/>
                <w:szCs w:val="20"/>
                <w:highlight w:val="none"/>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34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三、国防支出</w:t>
            </w: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17</w:t>
            </w:r>
          </w:p>
        </w:tc>
        <w:tc>
          <w:tcPr>
            <w:tcW w:w="708" w:type="dxa"/>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679" w:type="dxa"/>
            <w:gridSpan w:val="2"/>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680"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3994" w:type="dxa"/>
            <w:tcBorders>
              <w:top w:val="single" w:color="000000" w:sz="4" w:space="0"/>
              <w:left w:val="single" w:color="000000" w:sz="8" w:space="0"/>
              <w:bottom w:val="single" w:color="000000" w:sz="4" w:space="0"/>
              <w:right w:val="single" w:color="000000" w:sz="4" w:space="0"/>
            </w:tcBorders>
            <w:shd w:val="clear" w:color="auto" w:fill="FFFFFF"/>
            <w:noWrap w:val="0"/>
            <w:tcMar>
              <w:top w:w="15" w:type="dxa"/>
              <w:left w:w="15" w:type="dxa"/>
              <w:right w:w="15" w:type="dxa"/>
            </w:tcMar>
            <w:vAlign w:val="center"/>
          </w:tcPr>
          <w:p>
            <w:pPr>
              <w:jc w:val="left"/>
              <w:rPr>
                <w:rFonts w:hint="eastAsia" w:ascii="宋体" w:hAnsi="宋体" w:eastAsia="宋体" w:cs="宋体"/>
                <w:i w:val="0"/>
                <w:color w:val="000000"/>
                <w:sz w:val="20"/>
                <w:szCs w:val="20"/>
                <w:highlight w:val="none"/>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4</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34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四、公共安全支出</w:t>
            </w: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18</w:t>
            </w:r>
          </w:p>
        </w:tc>
        <w:tc>
          <w:tcPr>
            <w:tcW w:w="708" w:type="dxa"/>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679" w:type="dxa"/>
            <w:gridSpan w:val="2"/>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680"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3994" w:type="dxa"/>
            <w:tcBorders>
              <w:top w:val="single" w:color="000000" w:sz="4" w:space="0"/>
              <w:left w:val="single" w:color="000000" w:sz="8" w:space="0"/>
              <w:bottom w:val="single" w:color="000000" w:sz="4" w:space="0"/>
              <w:right w:val="single" w:color="000000" w:sz="4" w:space="0"/>
            </w:tcBorders>
            <w:shd w:val="clear" w:color="auto" w:fill="FFFFFF"/>
            <w:noWrap w:val="0"/>
            <w:tcMar>
              <w:top w:w="15" w:type="dxa"/>
              <w:left w:w="15" w:type="dxa"/>
              <w:right w:w="15" w:type="dxa"/>
            </w:tcMar>
            <w:vAlign w:val="center"/>
          </w:tcPr>
          <w:p>
            <w:pPr>
              <w:jc w:val="left"/>
              <w:rPr>
                <w:rFonts w:hint="eastAsia" w:ascii="宋体" w:hAnsi="宋体" w:eastAsia="宋体" w:cs="宋体"/>
                <w:i w:val="0"/>
                <w:color w:val="000000"/>
                <w:sz w:val="20"/>
                <w:szCs w:val="20"/>
                <w:highlight w:val="none"/>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5</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34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五、教育支出</w:t>
            </w: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19</w:t>
            </w:r>
          </w:p>
        </w:tc>
        <w:tc>
          <w:tcPr>
            <w:tcW w:w="708" w:type="dxa"/>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679" w:type="dxa"/>
            <w:gridSpan w:val="2"/>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680"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3994" w:type="dxa"/>
            <w:tcBorders>
              <w:top w:val="single" w:color="000000" w:sz="4" w:space="0"/>
              <w:left w:val="single" w:color="000000" w:sz="8" w:space="0"/>
              <w:bottom w:val="single" w:color="000000" w:sz="4" w:space="0"/>
              <w:right w:val="single" w:color="000000" w:sz="4" w:space="0"/>
            </w:tcBorders>
            <w:shd w:val="clear" w:color="auto" w:fill="FFFFFF"/>
            <w:noWrap w:val="0"/>
            <w:tcMar>
              <w:top w:w="15" w:type="dxa"/>
              <w:left w:w="15" w:type="dxa"/>
              <w:right w:w="15" w:type="dxa"/>
            </w:tcMar>
            <w:vAlign w:val="center"/>
          </w:tcPr>
          <w:p>
            <w:pPr>
              <w:jc w:val="left"/>
              <w:rPr>
                <w:rFonts w:hint="eastAsia" w:ascii="宋体" w:hAnsi="宋体" w:eastAsia="宋体" w:cs="宋体"/>
                <w:i w:val="0"/>
                <w:color w:val="000000"/>
                <w:sz w:val="20"/>
                <w:szCs w:val="20"/>
                <w:highlight w:val="none"/>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6</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34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20</w:t>
            </w:r>
          </w:p>
        </w:tc>
        <w:tc>
          <w:tcPr>
            <w:tcW w:w="708" w:type="dxa"/>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679" w:type="dxa"/>
            <w:gridSpan w:val="2"/>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680"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7" w:hRule="atLeast"/>
        </w:trPr>
        <w:tc>
          <w:tcPr>
            <w:tcW w:w="3994" w:type="dxa"/>
            <w:tcBorders>
              <w:top w:val="single" w:color="000000" w:sz="4" w:space="0"/>
              <w:left w:val="single" w:color="000000" w:sz="8" w:space="0"/>
              <w:bottom w:val="single" w:color="000000" w:sz="4" w:space="0"/>
              <w:right w:val="single" w:color="000000" w:sz="4" w:space="0"/>
            </w:tcBorders>
            <w:shd w:val="clear" w:color="auto" w:fill="FFFFFF"/>
            <w:noWrap w:val="0"/>
            <w:tcMar>
              <w:top w:w="15" w:type="dxa"/>
              <w:left w:w="15" w:type="dxa"/>
              <w:right w:w="15" w:type="dxa"/>
            </w:tcMar>
            <w:vAlign w:val="center"/>
          </w:tcPr>
          <w:p>
            <w:pPr>
              <w:jc w:val="left"/>
              <w:rPr>
                <w:rFonts w:hint="eastAsia" w:ascii="宋体" w:hAnsi="宋体" w:eastAsia="宋体" w:cs="宋体"/>
                <w:i w:val="0"/>
                <w:color w:val="000000"/>
                <w:sz w:val="20"/>
                <w:szCs w:val="20"/>
                <w:highlight w:val="none"/>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7</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340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rPr>
              <w:t>八、社会保障和就业支出</w:t>
            </w: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21</w:t>
            </w:r>
          </w:p>
        </w:tc>
        <w:tc>
          <w:tcPr>
            <w:tcW w:w="708" w:type="dxa"/>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jc w:val="righ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6.54</w:t>
            </w:r>
          </w:p>
        </w:tc>
        <w:tc>
          <w:tcPr>
            <w:tcW w:w="1679" w:type="dxa"/>
            <w:gridSpan w:val="2"/>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6.54</w:t>
            </w:r>
          </w:p>
        </w:tc>
        <w:tc>
          <w:tcPr>
            <w:tcW w:w="1680"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3994" w:type="dxa"/>
            <w:tcBorders>
              <w:top w:val="single" w:color="000000" w:sz="4" w:space="0"/>
              <w:left w:val="single" w:color="000000" w:sz="8" w:space="0"/>
              <w:bottom w:val="single" w:color="000000" w:sz="4" w:space="0"/>
              <w:right w:val="single" w:color="000000" w:sz="4" w:space="0"/>
            </w:tcBorders>
            <w:shd w:val="clear" w:color="auto" w:fill="auto"/>
            <w:noWrap w:val="0"/>
            <w:tcMar>
              <w:top w:w="15" w:type="dxa"/>
              <w:left w:w="15" w:type="dxa"/>
              <w:right w:w="15" w:type="dxa"/>
            </w:tcMar>
            <w:vAlign w:val="center"/>
          </w:tcPr>
          <w:p>
            <w:pPr>
              <w:jc w:val="left"/>
              <w:rPr>
                <w:rFonts w:hint="eastAsia" w:ascii="宋体" w:hAnsi="宋体" w:eastAsia="宋体" w:cs="宋体"/>
                <w:i w:val="0"/>
                <w:color w:val="000000"/>
                <w:sz w:val="20"/>
                <w:szCs w:val="20"/>
                <w:highlight w:val="none"/>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8</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left"/>
              <w:rPr>
                <w:rFonts w:hint="eastAsia" w:ascii="宋体" w:hAnsi="宋体" w:eastAsia="宋体" w:cs="宋体"/>
                <w:i w:val="0"/>
                <w:color w:val="000000"/>
                <w:sz w:val="20"/>
                <w:szCs w:val="20"/>
                <w:highlight w:val="none"/>
                <w:u w:val="none"/>
              </w:rPr>
            </w:pPr>
          </w:p>
        </w:tc>
        <w:tc>
          <w:tcPr>
            <w:tcW w:w="3400" w:type="dxa"/>
            <w:tcBorders>
              <w:top w:val="single" w:color="000000" w:sz="4" w:space="0"/>
              <w:left w:val="single" w:color="000000" w:sz="4" w:space="0"/>
              <w:bottom w:val="single" w:color="000000" w:sz="4" w:space="0"/>
              <w:right w:val="nil"/>
            </w:tcBorders>
            <w:shd w:val="clear" w:color="auto" w:fill="auto"/>
            <w:noWrap w:val="0"/>
            <w:tcMar>
              <w:top w:w="15" w:type="dxa"/>
              <w:left w:w="15" w:type="dxa"/>
              <w:right w:w="15" w:type="dxa"/>
            </w:tcMar>
            <w:vAlign w:val="center"/>
          </w:tcPr>
          <w:p>
            <w:pPr>
              <w:jc w:val="lef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十一、城乡社区支出</w:t>
            </w: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22</w:t>
            </w:r>
          </w:p>
        </w:tc>
        <w:tc>
          <w:tcPr>
            <w:tcW w:w="708" w:type="dxa"/>
            <w:tcBorders>
              <w:top w:val="single" w:color="000000" w:sz="4" w:space="0"/>
              <w:left w:val="nil"/>
              <w:bottom w:val="single" w:color="000000" w:sz="4" w:space="0"/>
              <w:right w:val="nil"/>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default"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207.76</w:t>
            </w: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207.76</w:t>
            </w:r>
          </w:p>
        </w:tc>
        <w:tc>
          <w:tcPr>
            <w:tcW w:w="1680" w:type="dxa"/>
            <w:tcBorders>
              <w:top w:val="single" w:color="000000" w:sz="4" w:space="0"/>
              <w:left w:val="nil"/>
              <w:bottom w:val="single" w:color="000000" w:sz="4" w:space="0"/>
              <w:right w:val="single" w:color="000000" w:sz="8"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3994" w:type="dxa"/>
            <w:tcBorders>
              <w:top w:val="single" w:color="000000" w:sz="4" w:space="0"/>
              <w:left w:val="single" w:color="000000" w:sz="8"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本年收入合计</w:t>
            </w: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9</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righ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213.39</w:t>
            </w:r>
          </w:p>
        </w:tc>
        <w:tc>
          <w:tcPr>
            <w:tcW w:w="3400" w:type="dxa"/>
            <w:tcBorders>
              <w:top w:val="single" w:color="000000" w:sz="4" w:space="0"/>
              <w:left w:val="single" w:color="000000" w:sz="4" w:space="0"/>
              <w:bottom w:val="single" w:color="000000" w:sz="4" w:space="0"/>
              <w:right w:val="nil"/>
            </w:tcBorders>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本年支出合计</w:t>
            </w: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23</w:t>
            </w:r>
          </w:p>
        </w:tc>
        <w:tc>
          <w:tcPr>
            <w:tcW w:w="708" w:type="dxa"/>
            <w:tcBorders>
              <w:top w:val="single" w:color="000000" w:sz="4" w:space="0"/>
              <w:left w:val="nil"/>
              <w:bottom w:val="single" w:color="000000" w:sz="4" w:space="0"/>
              <w:right w:val="nil"/>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default"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214.30</w:t>
            </w: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default"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214.30</w:t>
            </w:r>
          </w:p>
        </w:tc>
        <w:tc>
          <w:tcPr>
            <w:tcW w:w="1680" w:type="dxa"/>
            <w:tcBorders>
              <w:top w:val="single" w:color="000000" w:sz="4" w:space="0"/>
              <w:left w:val="nil"/>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b/>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3994" w:type="dxa"/>
            <w:tcBorders>
              <w:top w:val="single" w:color="000000" w:sz="4" w:space="0"/>
              <w:left w:val="single" w:color="000000" w:sz="8"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年初财政拨款结转和结余</w:t>
            </w: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10</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righ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0.91</w:t>
            </w:r>
          </w:p>
        </w:tc>
        <w:tc>
          <w:tcPr>
            <w:tcW w:w="3400" w:type="dxa"/>
            <w:tcBorders>
              <w:top w:val="single" w:color="000000" w:sz="4" w:space="0"/>
              <w:left w:val="single" w:color="000000" w:sz="4" w:space="0"/>
              <w:bottom w:val="single" w:color="000000" w:sz="4" w:space="0"/>
              <w:right w:val="nil"/>
            </w:tcBorders>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年末财政拨款结转和结余</w:t>
            </w: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24</w:t>
            </w:r>
          </w:p>
        </w:tc>
        <w:tc>
          <w:tcPr>
            <w:tcW w:w="708" w:type="dxa"/>
            <w:tcBorders>
              <w:top w:val="single" w:color="000000" w:sz="4" w:space="0"/>
              <w:left w:val="nil"/>
              <w:bottom w:val="single" w:color="000000" w:sz="4" w:space="0"/>
              <w:right w:val="nil"/>
            </w:tcBorders>
            <w:shd w:val="clear" w:color="auto" w:fill="FFFFFF"/>
            <w:noWrap w:val="0"/>
            <w:tcMar>
              <w:top w:w="15" w:type="dxa"/>
              <w:left w:w="15" w:type="dxa"/>
              <w:right w:w="15" w:type="dxa"/>
            </w:tcMar>
            <w:vAlign w:val="center"/>
          </w:tcPr>
          <w:p>
            <w:pPr>
              <w:jc w:val="right"/>
              <w:rPr>
                <w:rFonts w:hint="default" w:ascii="宋体" w:hAnsi="宋体" w:eastAsia="宋体" w:cs="宋体"/>
                <w:i w:val="0"/>
                <w:color w:val="000000"/>
                <w:sz w:val="20"/>
                <w:szCs w:val="20"/>
                <w:highlight w:val="none"/>
                <w:u w:val="none"/>
                <w:lang w:val="en-US" w:eastAsia="zh-CN"/>
              </w:rPr>
            </w:pP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1680" w:type="dxa"/>
            <w:tcBorders>
              <w:top w:val="single" w:color="000000" w:sz="4" w:space="0"/>
              <w:left w:val="nil"/>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3994" w:type="dxa"/>
            <w:tcBorders>
              <w:top w:val="single" w:color="000000" w:sz="4" w:space="0"/>
              <w:left w:val="single" w:color="000000" w:sz="8"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一般公共预算财政拨款</w:t>
            </w: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11</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righ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0.91</w:t>
            </w:r>
          </w:p>
        </w:tc>
        <w:tc>
          <w:tcPr>
            <w:tcW w:w="3400" w:type="dxa"/>
            <w:tcBorders>
              <w:top w:val="single" w:color="000000" w:sz="4" w:space="0"/>
              <w:left w:val="single" w:color="000000" w:sz="4" w:space="0"/>
              <w:bottom w:val="single" w:color="000000" w:sz="4" w:space="0"/>
              <w:right w:val="nil"/>
            </w:tcBorders>
            <w:shd w:val="clear" w:color="auto" w:fill="auto"/>
            <w:noWrap w:val="0"/>
            <w:tcMar>
              <w:top w:w="15" w:type="dxa"/>
              <w:left w:w="15" w:type="dxa"/>
              <w:right w:w="15" w:type="dxa"/>
            </w:tcMar>
            <w:vAlign w:val="center"/>
          </w:tcPr>
          <w:p>
            <w:pPr>
              <w:jc w:val="left"/>
              <w:rPr>
                <w:rFonts w:hint="eastAsia" w:ascii="宋体" w:hAnsi="宋体" w:eastAsia="宋体" w:cs="宋体"/>
                <w:i w:val="0"/>
                <w:color w:val="000000"/>
                <w:sz w:val="20"/>
                <w:szCs w:val="20"/>
                <w:highlight w:val="none"/>
                <w:u w:val="none"/>
              </w:rPr>
            </w:pP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25</w:t>
            </w:r>
          </w:p>
        </w:tc>
        <w:tc>
          <w:tcPr>
            <w:tcW w:w="708" w:type="dxa"/>
            <w:tcBorders>
              <w:top w:val="single" w:color="000000" w:sz="4" w:space="0"/>
              <w:left w:val="nil"/>
              <w:bottom w:val="single" w:color="000000" w:sz="4" w:space="0"/>
              <w:right w:val="nil"/>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680" w:type="dxa"/>
            <w:tcBorders>
              <w:top w:val="single" w:color="000000" w:sz="4" w:space="0"/>
              <w:left w:val="nil"/>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3994" w:type="dxa"/>
            <w:tcBorders>
              <w:top w:val="single" w:color="000000" w:sz="4" w:space="0"/>
              <w:left w:val="single" w:color="000000" w:sz="8" w:space="0"/>
              <w:bottom w:val="nil"/>
              <w:right w:val="nil"/>
            </w:tcBorders>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政府性基金预算财政拨款</w:t>
            </w: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12</w:t>
            </w:r>
          </w:p>
        </w:tc>
        <w:tc>
          <w:tcPr>
            <w:tcW w:w="1210" w:type="dxa"/>
            <w:tcBorders>
              <w:top w:val="single" w:color="000000" w:sz="4" w:space="0"/>
              <w:left w:val="single" w:color="000000" w:sz="4" w:space="0"/>
              <w:bottom w:val="nil"/>
              <w:right w:val="single" w:color="000000" w:sz="4" w:space="0"/>
            </w:tcBorders>
            <w:shd w:val="clear" w:color="auto" w:fill="auto"/>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3400" w:type="dxa"/>
            <w:tcBorders>
              <w:top w:val="single" w:color="000000" w:sz="4" w:space="0"/>
              <w:left w:val="single" w:color="000000" w:sz="4" w:space="0"/>
              <w:bottom w:val="nil"/>
              <w:right w:val="nil"/>
            </w:tcBorders>
            <w:shd w:val="clear" w:color="auto" w:fill="auto"/>
            <w:noWrap w:val="0"/>
            <w:tcMar>
              <w:top w:w="15" w:type="dxa"/>
              <w:left w:w="15" w:type="dxa"/>
              <w:right w:w="15" w:type="dxa"/>
            </w:tcMar>
            <w:vAlign w:val="center"/>
          </w:tcPr>
          <w:p>
            <w:pPr>
              <w:jc w:val="left"/>
              <w:rPr>
                <w:rFonts w:hint="eastAsia" w:ascii="宋体" w:hAnsi="宋体" w:eastAsia="宋体" w:cs="宋体"/>
                <w:i w:val="0"/>
                <w:color w:val="000000"/>
                <w:sz w:val="20"/>
                <w:szCs w:val="20"/>
                <w:highlight w:val="none"/>
                <w:u w:val="none"/>
              </w:rPr>
            </w:pP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26</w:t>
            </w:r>
          </w:p>
        </w:tc>
        <w:tc>
          <w:tcPr>
            <w:tcW w:w="708" w:type="dxa"/>
            <w:tcBorders>
              <w:top w:val="single" w:color="000000" w:sz="4" w:space="0"/>
              <w:left w:val="nil"/>
              <w:bottom w:val="nil"/>
              <w:right w:val="nil"/>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680" w:type="dxa"/>
            <w:tcBorders>
              <w:top w:val="single" w:color="000000" w:sz="4" w:space="0"/>
              <w:left w:val="nil"/>
              <w:bottom w:val="nil"/>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3994" w:type="dxa"/>
            <w:tcBorders>
              <w:top w:val="single" w:color="000000" w:sz="4" w:space="0"/>
              <w:left w:val="single" w:color="000000" w:sz="8" w:space="0"/>
              <w:bottom w:val="nil"/>
              <w:right w:val="nil"/>
            </w:tcBorders>
            <w:shd w:val="clear" w:color="auto" w:fill="auto"/>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13</w:t>
            </w:r>
          </w:p>
        </w:tc>
        <w:tc>
          <w:tcPr>
            <w:tcW w:w="1210" w:type="dxa"/>
            <w:tcBorders>
              <w:top w:val="single" w:color="000000" w:sz="4" w:space="0"/>
              <w:left w:val="single" w:color="000000" w:sz="4" w:space="0"/>
              <w:bottom w:val="nil"/>
              <w:right w:val="single" w:color="000000" w:sz="4" w:space="0"/>
            </w:tcBorders>
            <w:shd w:val="clear" w:color="auto" w:fill="auto"/>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3400" w:type="dxa"/>
            <w:tcBorders>
              <w:top w:val="single" w:color="000000" w:sz="4" w:space="0"/>
              <w:left w:val="single" w:color="000000" w:sz="4" w:space="0"/>
              <w:bottom w:val="nil"/>
              <w:right w:val="nil"/>
            </w:tcBorders>
            <w:shd w:val="clear" w:color="auto" w:fill="auto"/>
            <w:noWrap w:val="0"/>
            <w:tcMar>
              <w:top w:w="15" w:type="dxa"/>
              <w:left w:w="15" w:type="dxa"/>
              <w:right w:w="15" w:type="dxa"/>
            </w:tcMar>
            <w:vAlign w:val="center"/>
          </w:tcPr>
          <w:p>
            <w:pPr>
              <w:jc w:val="left"/>
              <w:rPr>
                <w:rFonts w:hint="eastAsia" w:ascii="宋体" w:hAnsi="宋体" w:eastAsia="宋体" w:cs="宋体"/>
                <w:i w:val="0"/>
                <w:color w:val="000000"/>
                <w:sz w:val="20"/>
                <w:szCs w:val="20"/>
                <w:highlight w:val="none"/>
                <w:u w:val="none"/>
              </w:rPr>
            </w:pP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27</w:t>
            </w:r>
          </w:p>
        </w:tc>
        <w:tc>
          <w:tcPr>
            <w:tcW w:w="708" w:type="dxa"/>
            <w:tcBorders>
              <w:top w:val="single" w:color="000000" w:sz="4" w:space="0"/>
              <w:left w:val="nil"/>
              <w:bottom w:val="nil"/>
              <w:right w:val="nil"/>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680" w:type="dxa"/>
            <w:tcBorders>
              <w:top w:val="single" w:color="000000" w:sz="4" w:space="0"/>
              <w:left w:val="nil"/>
              <w:bottom w:val="nil"/>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3994" w:type="dxa"/>
            <w:tcBorders>
              <w:top w:val="single" w:color="000000" w:sz="4" w:space="0"/>
              <w:left w:val="single" w:color="000000" w:sz="8" w:space="0"/>
              <w:bottom w:val="single" w:color="000000" w:sz="8" w:space="0"/>
              <w:right w:val="nil"/>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总计</w:t>
            </w: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14</w:t>
            </w:r>
          </w:p>
        </w:tc>
        <w:tc>
          <w:tcPr>
            <w:tcW w:w="1210" w:type="dxa"/>
            <w:tcBorders>
              <w:top w:val="single" w:color="000000" w:sz="4" w:space="0"/>
              <w:left w:val="single" w:color="000000" w:sz="4" w:space="0"/>
              <w:bottom w:val="single" w:color="000000" w:sz="8" w:space="0"/>
              <w:right w:val="single" w:color="000000" w:sz="4" w:space="0"/>
            </w:tcBorders>
            <w:shd w:val="clear" w:color="auto" w:fill="auto"/>
            <w:noWrap w:val="0"/>
            <w:tcMar>
              <w:top w:w="15" w:type="dxa"/>
              <w:left w:w="15" w:type="dxa"/>
              <w:right w:w="15" w:type="dxa"/>
            </w:tcMar>
            <w:vAlign w:val="center"/>
          </w:tcPr>
          <w:p>
            <w:pPr>
              <w:jc w:val="righ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214.30</w:t>
            </w:r>
          </w:p>
        </w:tc>
        <w:tc>
          <w:tcPr>
            <w:tcW w:w="3400" w:type="dxa"/>
            <w:tcBorders>
              <w:top w:val="single" w:color="000000" w:sz="4" w:space="0"/>
              <w:left w:val="single" w:color="000000" w:sz="4" w:space="0"/>
              <w:bottom w:val="single" w:color="000000" w:sz="8" w:space="0"/>
              <w:right w:val="nil"/>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总计</w:t>
            </w: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28</w:t>
            </w:r>
          </w:p>
        </w:tc>
        <w:tc>
          <w:tcPr>
            <w:tcW w:w="708" w:type="dxa"/>
            <w:tcBorders>
              <w:top w:val="single" w:color="000000" w:sz="4" w:space="0"/>
              <w:left w:val="nil"/>
              <w:bottom w:val="nil"/>
              <w:right w:val="nil"/>
            </w:tcBorders>
            <w:shd w:val="clear" w:color="auto" w:fill="FFFFFF"/>
            <w:noWrap w:val="0"/>
            <w:tcMar>
              <w:top w:w="15" w:type="dxa"/>
              <w:left w:w="15" w:type="dxa"/>
              <w:right w:w="15" w:type="dxa"/>
            </w:tcMar>
            <w:vAlign w:val="center"/>
          </w:tcPr>
          <w:p>
            <w:pPr>
              <w:jc w:val="center"/>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211.15</w:t>
            </w:r>
          </w:p>
        </w:tc>
        <w:tc>
          <w:tcPr>
            <w:tcW w:w="1679" w:type="dxa"/>
            <w:gridSpan w:val="2"/>
            <w:tcBorders>
              <w:top w:val="single" w:color="000000" w:sz="4" w:space="0"/>
              <w:left w:val="single" w:color="000000" w:sz="4" w:space="0"/>
              <w:bottom w:val="single" w:color="000000" w:sz="8" w:space="0"/>
              <w:right w:val="single" w:color="000000" w:sz="4" w:space="0"/>
            </w:tcBorders>
            <w:shd w:val="clear" w:color="auto" w:fill="FFFFFF"/>
            <w:noWrap w:val="0"/>
            <w:tcMar>
              <w:top w:w="15" w:type="dxa"/>
              <w:left w:w="15" w:type="dxa"/>
              <w:right w:w="15" w:type="dxa"/>
            </w:tcMar>
            <w:vAlign w:val="center"/>
          </w:tcPr>
          <w:p>
            <w:pPr>
              <w:jc w:val="righ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214.30</w:t>
            </w:r>
          </w:p>
        </w:tc>
        <w:tc>
          <w:tcPr>
            <w:tcW w:w="1680" w:type="dxa"/>
            <w:tcBorders>
              <w:top w:val="single" w:color="000000" w:sz="4" w:space="0"/>
              <w:left w:val="nil"/>
              <w:bottom w:val="single" w:color="000000" w:sz="8" w:space="0"/>
              <w:right w:val="single" w:color="000000" w:sz="8" w:space="0"/>
            </w:tcBorders>
            <w:noWrap w:val="0"/>
            <w:tcMar>
              <w:top w:w="15" w:type="dxa"/>
              <w:left w:w="15" w:type="dxa"/>
              <w:right w:w="15" w:type="dxa"/>
            </w:tcMar>
            <w:vAlign w:val="center"/>
          </w:tcPr>
          <w:p>
            <w:pPr>
              <w:rPr>
                <w:rFonts w:hint="eastAsia" w:ascii="宋体" w:hAnsi="宋体" w:eastAsia="宋体" w:cs="宋体"/>
                <w:b/>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13988" w:type="dxa"/>
            <w:gridSpan w:val="9"/>
            <w:tcBorders>
              <w:top w:val="single" w:color="000000" w:sz="8" w:space="0"/>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注：本表反映部门本年度一般公共预算财政拨款和政府性基金预算财政拨款的总收支和年末结转结余情况。本表金额转换为万元时，因四舍五入可能存在尾差。</w:t>
            </w:r>
          </w:p>
        </w:tc>
      </w:tr>
    </w:tbl>
    <w:p>
      <w:pPr>
        <w:rPr>
          <w:rFonts w:hint="eastAsia" w:ascii="仿宋_GB2312" w:hAnsi="仿宋_GB2312" w:eastAsia="仿宋_GB2312" w:cs="仿宋_GB2312"/>
          <w:color w:val="auto"/>
          <w:sz w:val="32"/>
          <w:szCs w:val="32"/>
          <w:highlight w:val="none"/>
        </w:rPr>
        <w:sectPr>
          <w:pgSz w:w="16838" w:h="11906" w:orient="landscape"/>
          <w:pgMar w:top="1800" w:right="1440" w:bottom="1800" w:left="1440" w:header="720" w:footer="720" w:gutter="0"/>
          <w:pgNumType w:fmt="numberInDash"/>
          <w:cols w:space="720" w:num="1"/>
          <w:docGrid w:type="lines" w:linePitch="312" w:charSpace="0"/>
        </w:sectPr>
      </w:pP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26"/>
        <w:gridCol w:w="688"/>
        <w:gridCol w:w="2225"/>
        <w:gridCol w:w="3449"/>
        <w:gridCol w:w="3449"/>
        <w:gridCol w:w="34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13988" w:type="dxa"/>
            <w:gridSpan w:val="6"/>
            <w:tcBorders>
              <w:top w:val="nil"/>
              <w:left w:val="nil"/>
              <w:bottom w:val="nil"/>
              <w:right w:val="nil"/>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highlight w:val="none"/>
                <w:u w:val="none"/>
              </w:rPr>
            </w:pPr>
            <w:r>
              <w:rPr>
                <w:rFonts w:hint="eastAsia" w:ascii="华文中宋" w:hAnsi="华文中宋" w:eastAsia="华文中宋" w:cs="华文中宋"/>
                <w:i w:val="0"/>
                <w:color w:val="000000"/>
                <w:kern w:val="0"/>
                <w:sz w:val="32"/>
                <w:szCs w:val="32"/>
                <w:highlight w:val="none"/>
                <w:u w:val="none"/>
                <w:lang w:val="en-US" w:eastAsia="zh-CN" w:bidi="ar"/>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2" w:hRule="atLeast"/>
        </w:trPr>
        <w:tc>
          <w:tcPr>
            <w:tcW w:w="726" w:type="dxa"/>
            <w:tcBorders>
              <w:top w:val="nil"/>
              <w:left w:val="nil"/>
              <w:bottom w:val="nil"/>
              <w:right w:val="nil"/>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688" w:type="dxa"/>
            <w:tcBorders>
              <w:top w:val="nil"/>
              <w:left w:val="nil"/>
              <w:bottom w:val="nil"/>
              <w:right w:val="nil"/>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2225" w:type="dxa"/>
            <w:tcBorders>
              <w:top w:val="nil"/>
              <w:left w:val="nil"/>
              <w:bottom w:val="nil"/>
              <w:right w:val="nil"/>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3449"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3449"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3451" w:type="dxa"/>
            <w:tcBorders>
              <w:top w:val="nil"/>
              <w:left w:val="nil"/>
              <w:bottom w:val="nil"/>
              <w:right w:val="nil"/>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公开0</w:t>
            </w:r>
            <w:r>
              <w:rPr>
                <w:rStyle w:val="21"/>
                <w:sz w:val="20"/>
                <w:szCs w:val="20"/>
                <w:highlight w:val="none"/>
                <w:lang w:val="en-US" w:eastAsia="zh-CN" w:bidi="ar"/>
              </w:rPr>
              <w:t>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7088" w:type="dxa"/>
            <w:gridSpan w:val="4"/>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部门：许昌市建安区建筑工程标准定额管理站</w:t>
            </w:r>
          </w:p>
        </w:tc>
        <w:tc>
          <w:tcPr>
            <w:tcW w:w="3449"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3451" w:type="dxa"/>
            <w:tcBorders>
              <w:top w:val="nil"/>
              <w:left w:val="nil"/>
              <w:bottom w:val="nil"/>
              <w:right w:val="nil"/>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3639" w:type="dxa"/>
            <w:gridSpan w:val="3"/>
            <w:tcBorders>
              <w:top w:val="single" w:color="000000" w:sz="8"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项 </w:t>
            </w:r>
            <w:r>
              <w:rPr>
                <w:rStyle w:val="18"/>
                <w:sz w:val="20"/>
                <w:szCs w:val="20"/>
                <w:highlight w:val="none"/>
                <w:lang w:val="en-US" w:eastAsia="zh-CN" w:bidi="ar"/>
              </w:rPr>
              <w:t xml:space="preserve">   </w:t>
            </w:r>
            <w:r>
              <w:rPr>
                <w:rStyle w:val="19"/>
                <w:sz w:val="20"/>
                <w:szCs w:val="20"/>
                <w:highlight w:val="none"/>
                <w:lang w:val="en-US" w:eastAsia="zh-CN" w:bidi="ar"/>
              </w:rPr>
              <w:t>目</w:t>
            </w:r>
          </w:p>
        </w:tc>
        <w:tc>
          <w:tcPr>
            <w:tcW w:w="10349" w:type="dxa"/>
            <w:gridSpan w:val="3"/>
            <w:tcBorders>
              <w:top w:val="single" w:color="000000" w:sz="8"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5" w:hRule="atLeast"/>
        </w:trPr>
        <w:tc>
          <w:tcPr>
            <w:tcW w:w="1414" w:type="dxa"/>
            <w:gridSpan w:val="2"/>
            <w:vMerge w:val="restart"/>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功能分类</w:t>
            </w:r>
          </w:p>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科目编码</w:t>
            </w:r>
          </w:p>
        </w:tc>
        <w:tc>
          <w:tcPr>
            <w:tcW w:w="222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科目名称</w:t>
            </w:r>
          </w:p>
        </w:tc>
        <w:tc>
          <w:tcPr>
            <w:tcW w:w="3449" w:type="dxa"/>
            <w:vMerge w:val="restart"/>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小计</w:t>
            </w:r>
          </w:p>
        </w:tc>
        <w:tc>
          <w:tcPr>
            <w:tcW w:w="3449" w:type="dxa"/>
            <w:vMerge w:val="restart"/>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基本支出</w:t>
            </w:r>
          </w:p>
        </w:tc>
        <w:tc>
          <w:tcPr>
            <w:tcW w:w="3451" w:type="dxa"/>
            <w:vMerge w:val="restart"/>
            <w:tcBorders>
              <w:top w:val="nil"/>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1414" w:type="dxa"/>
            <w:gridSpan w:val="2"/>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222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3449" w:type="dxa"/>
            <w:vMerge w:val="continue"/>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3449" w:type="dxa"/>
            <w:vMerge w:val="continue"/>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3451" w:type="dxa"/>
            <w:vMerge w:val="continue"/>
            <w:tcBorders>
              <w:top w:val="nil"/>
              <w:left w:val="single" w:color="000000" w:sz="4" w:space="0"/>
              <w:bottom w:val="single" w:color="000000" w:sz="4" w:space="0"/>
              <w:right w:val="single" w:color="000000" w:sz="8"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414" w:type="dxa"/>
            <w:gridSpan w:val="2"/>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222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3449" w:type="dxa"/>
            <w:vMerge w:val="continue"/>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3449" w:type="dxa"/>
            <w:vMerge w:val="continue"/>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3451" w:type="dxa"/>
            <w:vMerge w:val="continue"/>
            <w:tcBorders>
              <w:top w:val="nil"/>
              <w:left w:val="single" w:color="000000" w:sz="4" w:space="0"/>
              <w:bottom w:val="single" w:color="000000" w:sz="4" w:space="0"/>
              <w:right w:val="single" w:color="000000" w:sz="8"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3639" w:type="dxa"/>
            <w:gridSpan w:val="3"/>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栏次</w:t>
            </w:r>
          </w:p>
        </w:tc>
        <w:tc>
          <w:tcPr>
            <w:tcW w:w="34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34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w:t>
            </w:r>
          </w:p>
        </w:tc>
        <w:tc>
          <w:tcPr>
            <w:tcW w:w="3451"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3639" w:type="dxa"/>
            <w:gridSpan w:val="3"/>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合计</w:t>
            </w:r>
          </w:p>
        </w:tc>
        <w:tc>
          <w:tcPr>
            <w:tcW w:w="34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214.30</w:t>
            </w:r>
          </w:p>
        </w:tc>
        <w:tc>
          <w:tcPr>
            <w:tcW w:w="34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214.30</w:t>
            </w:r>
          </w:p>
        </w:tc>
        <w:tc>
          <w:tcPr>
            <w:tcW w:w="3451"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414" w:type="dxa"/>
            <w:gridSpan w:val="2"/>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lef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208</w:t>
            </w:r>
          </w:p>
        </w:tc>
        <w:tc>
          <w:tcPr>
            <w:tcW w:w="2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lef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rPr>
              <w:t>社会保障和就业支出</w:t>
            </w:r>
          </w:p>
        </w:tc>
        <w:tc>
          <w:tcPr>
            <w:tcW w:w="34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default" w:ascii="宋体" w:hAnsi="宋体" w:eastAsia="宋体" w:cs="宋体"/>
                <w:i w:val="0"/>
                <w:color w:val="000000"/>
                <w:sz w:val="20"/>
                <w:szCs w:val="20"/>
                <w:highlight w:val="none"/>
                <w:u w:val="none"/>
                <w:lang w:val="en-US"/>
              </w:rPr>
            </w:pPr>
            <w:r>
              <w:rPr>
                <w:rFonts w:hint="eastAsia" w:ascii="宋体" w:hAnsi="宋体" w:eastAsia="宋体" w:cs="宋体"/>
                <w:i w:val="0"/>
                <w:color w:val="000000"/>
                <w:sz w:val="20"/>
                <w:szCs w:val="20"/>
                <w:highlight w:val="none"/>
                <w:u w:val="none"/>
                <w:lang w:val="en-US" w:eastAsia="zh-CN"/>
              </w:rPr>
              <w:t>6.54</w:t>
            </w:r>
          </w:p>
        </w:tc>
        <w:tc>
          <w:tcPr>
            <w:tcW w:w="34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6.54</w:t>
            </w:r>
          </w:p>
        </w:tc>
        <w:tc>
          <w:tcPr>
            <w:tcW w:w="3451"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414" w:type="dxa"/>
            <w:gridSpan w:val="2"/>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lef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20805</w:t>
            </w:r>
          </w:p>
        </w:tc>
        <w:tc>
          <w:tcPr>
            <w:tcW w:w="2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lef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rPr>
              <w:t>行政事业单位养老支出</w:t>
            </w:r>
          </w:p>
        </w:tc>
        <w:tc>
          <w:tcPr>
            <w:tcW w:w="34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6.54</w:t>
            </w:r>
          </w:p>
        </w:tc>
        <w:tc>
          <w:tcPr>
            <w:tcW w:w="34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6.54</w:t>
            </w:r>
          </w:p>
        </w:tc>
        <w:tc>
          <w:tcPr>
            <w:tcW w:w="3451"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414" w:type="dxa"/>
            <w:gridSpan w:val="2"/>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lef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2080502</w:t>
            </w:r>
          </w:p>
        </w:tc>
        <w:tc>
          <w:tcPr>
            <w:tcW w:w="2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lef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rPr>
              <w:t>事业单位离退休</w:t>
            </w:r>
          </w:p>
        </w:tc>
        <w:tc>
          <w:tcPr>
            <w:tcW w:w="34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6.54</w:t>
            </w:r>
          </w:p>
        </w:tc>
        <w:tc>
          <w:tcPr>
            <w:tcW w:w="34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6.54</w:t>
            </w:r>
          </w:p>
        </w:tc>
        <w:tc>
          <w:tcPr>
            <w:tcW w:w="3451"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414" w:type="dxa"/>
            <w:gridSpan w:val="2"/>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lef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212</w:t>
            </w:r>
          </w:p>
        </w:tc>
        <w:tc>
          <w:tcPr>
            <w:tcW w:w="2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lef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rPr>
              <w:t>城乡社区支出</w:t>
            </w:r>
          </w:p>
        </w:tc>
        <w:tc>
          <w:tcPr>
            <w:tcW w:w="34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default" w:ascii="宋体" w:hAnsi="宋体" w:eastAsia="宋体" w:cs="宋体"/>
                <w:i w:val="0"/>
                <w:color w:val="000000"/>
                <w:sz w:val="20"/>
                <w:szCs w:val="20"/>
                <w:highlight w:val="none"/>
                <w:u w:val="none"/>
                <w:lang w:val="en-US"/>
              </w:rPr>
            </w:pPr>
            <w:r>
              <w:rPr>
                <w:rFonts w:hint="eastAsia" w:ascii="宋体" w:hAnsi="宋体" w:eastAsia="宋体" w:cs="宋体"/>
                <w:i w:val="0"/>
                <w:color w:val="000000"/>
                <w:sz w:val="20"/>
                <w:szCs w:val="20"/>
                <w:highlight w:val="none"/>
                <w:u w:val="none"/>
                <w:lang w:val="en-US" w:eastAsia="zh-CN"/>
              </w:rPr>
              <w:t>207.76</w:t>
            </w:r>
          </w:p>
        </w:tc>
        <w:tc>
          <w:tcPr>
            <w:tcW w:w="34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207.76</w:t>
            </w:r>
          </w:p>
        </w:tc>
        <w:tc>
          <w:tcPr>
            <w:tcW w:w="3451"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414" w:type="dxa"/>
            <w:gridSpan w:val="2"/>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lef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21201</w:t>
            </w:r>
          </w:p>
        </w:tc>
        <w:tc>
          <w:tcPr>
            <w:tcW w:w="2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lef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rPr>
              <w:t>城乡社区管理事务</w:t>
            </w:r>
          </w:p>
        </w:tc>
        <w:tc>
          <w:tcPr>
            <w:tcW w:w="34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207.76</w:t>
            </w:r>
          </w:p>
        </w:tc>
        <w:tc>
          <w:tcPr>
            <w:tcW w:w="34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207.76</w:t>
            </w:r>
          </w:p>
        </w:tc>
        <w:tc>
          <w:tcPr>
            <w:tcW w:w="3451"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414" w:type="dxa"/>
            <w:gridSpan w:val="2"/>
            <w:tcBorders>
              <w:top w:val="single" w:color="000000" w:sz="4" w:space="0"/>
              <w:left w:val="single" w:color="000000" w:sz="8" w:space="0"/>
              <w:bottom w:val="single" w:color="000000" w:sz="8"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lef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2120105</w:t>
            </w:r>
          </w:p>
        </w:tc>
        <w:tc>
          <w:tcPr>
            <w:tcW w:w="2225"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lef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rPr>
              <w:t>工程建设标准规范编制与监管</w:t>
            </w:r>
          </w:p>
        </w:tc>
        <w:tc>
          <w:tcPr>
            <w:tcW w:w="3449"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207.76</w:t>
            </w:r>
          </w:p>
        </w:tc>
        <w:tc>
          <w:tcPr>
            <w:tcW w:w="3449"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207.76</w:t>
            </w:r>
          </w:p>
        </w:tc>
        <w:tc>
          <w:tcPr>
            <w:tcW w:w="3451" w:type="dxa"/>
            <w:tcBorders>
              <w:top w:val="single" w:color="000000" w:sz="4" w:space="0"/>
              <w:left w:val="single" w:color="000000" w:sz="4" w:space="0"/>
              <w:bottom w:val="single" w:color="000000" w:sz="8"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5" w:hRule="atLeast"/>
        </w:trPr>
        <w:tc>
          <w:tcPr>
            <w:tcW w:w="13988" w:type="dxa"/>
            <w:gridSpan w:val="6"/>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注：本表反映部门本年度一般公共预算财政拨款支出情况。本表金额转换为万元时，因四舍五入可能存在尾差。</w:t>
            </w:r>
          </w:p>
        </w:tc>
      </w:tr>
    </w:tbl>
    <w:p>
      <w:pPr>
        <w:rPr>
          <w:rFonts w:hint="eastAsia" w:ascii="仿宋_GB2312" w:hAnsi="仿宋_GB2312" w:eastAsia="仿宋_GB2312" w:cs="仿宋_GB2312"/>
          <w:color w:val="auto"/>
          <w:sz w:val="32"/>
          <w:szCs w:val="32"/>
          <w:highlight w:val="none"/>
        </w:rPr>
        <w:sectPr>
          <w:pgSz w:w="16838" w:h="11906" w:orient="landscape"/>
          <w:pgMar w:top="1800" w:right="1440" w:bottom="1800" w:left="1440" w:header="720" w:footer="720" w:gutter="0"/>
          <w:pgNumType w:fmt="numberInDash"/>
          <w:cols w:space="720" w:num="1"/>
          <w:docGrid w:type="lines" w:linePitch="312" w:charSpace="0"/>
        </w:sectPr>
      </w:pP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70"/>
        <w:gridCol w:w="2923"/>
        <w:gridCol w:w="938"/>
        <w:gridCol w:w="870"/>
        <w:gridCol w:w="2066"/>
        <w:gridCol w:w="938"/>
        <w:gridCol w:w="870"/>
        <w:gridCol w:w="3575"/>
        <w:gridCol w:w="9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atLeast"/>
        </w:trPr>
        <w:tc>
          <w:tcPr>
            <w:tcW w:w="13988" w:type="dxa"/>
            <w:gridSpan w:val="9"/>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highlight w:val="none"/>
                <w:u w:val="none"/>
              </w:rPr>
            </w:pPr>
            <w:r>
              <w:rPr>
                <w:rFonts w:hint="eastAsia" w:ascii="华文中宋" w:hAnsi="华文中宋" w:eastAsia="华文中宋" w:cs="华文中宋"/>
                <w:i w:val="0"/>
                <w:color w:val="000000"/>
                <w:kern w:val="0"/>
                <w:sz w:val="32"/>
                <w:szCs w:val="32"/>
                <w:highlight w:val="none"/>
                <w:u w:val="none"/>
                <w:lang w:val="en-US" w:eastAsia="zh-CN" w:bidi="ar"/>
              </w:rPr>
              <w:t>一般公共预算财政拨款基本支出决算表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870" w:type="dxa"/>
            <w:tcBorders>
              <w:top w:val="nil"/>
              <w:left w:val="nil"/>
              <w:bottom w:val="nil"/>
              <w:right w:val="nil"/>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2923" w:type="dxa"/>
            <w:tcBorders>
              <w:top w:val="nil"/>
              <w:left w:val="nil"/>
              <w:bottom w:val="nil"/>
              <w:right w:val="nil"/>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938" w:type="dxa"/>
            <w:tcBorders>
              <w:top w:val="nil"/>
              <w:left w:val="nil"/>
              <w:bottom w:val="nil"/>
              <w:right w:val="nil"/>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870"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2066"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938"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3575"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938" w:type="dxa"/>
            <w:tcBorders>
              <w:top w:val="nil"/>
              <w:left w:val="nil"/>
              <w:bottom w:val="nil"/>
              <w:right w:val="nil"/>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4731" w:type="dxa"/>
            <w:gridSpan w:val="3"/>
            <w:tcBorders>
              <w:top w:val="nil"/>
              <w:left w:val="nil"/>
              <w:bottom w:val="nil"/>
              <w:right w:val="nil"/>
            </w:tcBorders>
            <w:noWrap w:val="0"/>
            <w:tcMar>
              <w:top w:w="15" w:type="dxa"/>
              <w:left w:w="15" w:type="dxa"/>
              <w:right w:w="15" w:type="dxa"/>
            </w:tcMar>
            <w:vAlign w:val="center"/>
          </w:tcPr>
          <w:p>
            <w:pPr>
              <w:rPr>
                <w:rFonts w:hint="default" w:ascii="Arial" w:hAnsi="Arial" w:eastAsia="宋体" w:cs="Arial"/>
                <w:i w:val="0"/>
                <w:color w:val="000000"/>
                <w:sz w:val="20"/>
                <w:szCs w:val="20"/>
                <w:highlight w:val="none"/>
                <w:u w:val="none"/>
              </w:rPr>
            </w:pPr>
            <w:r>
              <w:rPr>
                <w:rFonts w:hint="default" w:ascii="Arial" w:hAnsi="Arial" w:eastAsia="宋体" w:cs="Arial"/>
                <w:i w:val="0"/>
                <w:color w:val="000000"/>
                <w:kern w:val="0"/>
                <w:sz w:val="20"/>
                <w:szCs w:val="20"/>
                <w:highlight w:val="none"/>
                <w:u w:val="none"/>
                <w:lang w:val="en-US" w:eastAsia="zh-CN" w:bidi="ar"/>
              </w:rPr>
              <w:t>部门：</w:t>
            </w:r>
            <w:r>
              <w:rPr>
                <w:rFonts w:hint="eastAsia" w:ascii="宋体" w:hAnsi="宋体" w:eastAsia="宋体" w:cs="宋体"/>
                <w:i w:val="0"/>
                <w:color w:val="000000"/>
                <w:kern w:val="0"/>
                <w:sz w:val="20"/>
                <w:szCs w:val="20"/>
                <w:highlight w:val="none"/>
                <w:u w:val="none"/>
                <w:lang w:val="en-US" w:eastAsia="zh-CN" w:bidi="ar"/>
              </w:rPr>
              <w:t>许昌市建安区建筑工程标准定额管理站</w:t>
            </w:r>
          </w:p>
        </w:tc>
        <w:tc>
          <w:tcPr>
            <w:tcW w:w="870" w:type="dxa"/>
            <w:tcBorders>
              <w:top w:val="nil"/>
              <w:left w:val="nil"/>
              <w:bottom w:val="nil"/>
              <w:right w:val="nil"/>
            </w:tcBorders>
            <w:noWrap w:val="0"/>
            <w:tcMar>
              <w:top w:w="15" w:type="dxa"/>
              <w:left w:w="15" w:type="dxa"/>
              <w:right w:w="15" w:type="dxa"/>
            </w:tcMar>
            <w:vAlign w:val="center"/>
          </w:tcPr>
          <w:p>
            <w:pPr>
              <w:rPr>
                <w:rFonts w:hint="default" w:ascii="Arial" w:hAnsi="Arial" w:eastAsia="宋体" w:cs="Arial"/>
                <w:i w:val="0"/>
                <w:color w:val="000000"/>
                <w:sz w:val="20"/>
                <w:szCs w:val="20"/>
                <w:highlight w:val="none"/>
                <w:u w:val="none"/>
              </w:rPr>
            </w:pPr>
          </w:p>
        </w:tc>
        <w:tc>
          <w:tcPr>
            <w:tcW w:w="2066" w:type="dxa"/>
            <w:tcBorders>
              <w:top w:val="nil"/>
              <w:left w:val="nil"/>
              <w:bottom w:val="nil"/>
              <w:right w:val="nil"/>
            </w:tcBorders>
            <w:noWrap w:val="0"/>
            <w:tcMar>
              <w:top w:w="15" w:type="dxa"/>
              <w:left w:w="15" w:type="dxa"/>
              <w:right w:w="15" w:type="dxa"/>
            </w:tcMar>
            <w:vAlign w:val="center"/>
          </w:tcPr>
          <w:p>
            <w:pPr>
              <w:rPr>
                <w:rFonts w:hint="default" w:ascii="Arial" w:hAnsi="Arial" w:eastAsia="宋体" w:cs="Arial"/>
                <w:i w:val="0"/>
                <w:color w:val="000000"/>
                <w:sz w:val="20"/>
                <w:szCs w:val="20"/>
                <w:highlight w:val="none"/>
                <w:u w:val="none"/>
              </w:rPr>
            </w:pPr>
          </w:p>
        </w:tc>
        <w:tc>
          <w:tcPr>
            <w:tcW w:w="938" w:type="dxa"/>
            <w:tcBorders>
              <w:top w:val="nil"/>
              <w:left w:val="nil"/>
              <w:bottom w:val="nil"/>
              <w:right w:val="nil"/>
            </w:tcBorders>
            <w:noWrap w:val="0"/>
            <w:tcMar>
              <w:top w:w="15" w:type="dxa"/>
              <w:left w:w="15" w:type="dxa"/>
              <w:right w:w="15" w:type="dxa"/>
            </w:tcMar>
            <w:vAlign w:val="center"/>
          </w:tcPr>
          <w:p>
            <w:pPr>
              <w:rPr>
                <w:rFonts w:hint="default" w:ascii="Arial" w:hAnsi="Arial" w:eastAsia="宋体" w:cs="Arial"/>
                <w:i w:val="0"/>
                <w:color w:val="000000"/>
                <w:sz w:val="20"/>
                <w:szCs w:val="20"/>
                <w:highlight w:val="none"/>
                <w:u w:val="none"/>
              </w:rPr>
            </w:pPr>
          </w:p>
        </w:tc>
        <w:tc>
          <w:tcPr>
            <w:tcW w:w="870" w:type="dxa"/>
            <w:tcBorders>
              <w:top w:val="nil"/>
              <w:left w:val="nil"/>
              <w:bottom w:val="nil"/>
              <w:right w:val="nil"/>
            </w:tcBorders>
            <w:noWrap w:val="0"/>
            <w:tcMar>
              <w:top w:w="15" w:type="dxa"/>
              <w:left w:w="15" w:type="dxa"/>
              <w:right w:w="15" w:type="dxa"/>
            </w:tcMar>
            <w:vAlign w:val="center"/>
          </w:tcPr>
          <w:p>
            <w:pPr>
              <w:rPr>
                <w:rFonts w:hint="default" w:ascii="Arial" w:hAnsi="Arial" w:eastAsia="宋体" w:cs="Arial"/>
                <w:i w:val="0"/>
                <w:color w:val="000000"/>
                <w:sz w:val="20"/>
                <w:szCs w:val="20"/>
                <w:highlight w:val="none"/>
                <w:u w:val="none"/>
              </w:rPr>
            </w:pPr>
          </w:p>
        </w:tc>
        <w:tc>
          <w:tcPr>
            <w:tcW w:w="3575" w:type="dxa"/>
            <w:tcBorders>
              <w:top w:val="nil"/>
              <w:left w:val="nil"/>
              <w:bottom w:val="nil"/>
              <w:right w:val="nil"/>
            </w:tcBorders>
            <w:noWrap w:val="0"/>
            <w:tcMar>
              <w:top w:w="15" w:type="dxa"/>
              <w:left w:w="15" w:type="dxa"/>
              <w:right w:w="15" w:type="dxa"/>
            </w:tcMar>
            <w:vAlign w:val="center"/>
          </w:tcPr>
          <w:p>
            <w:pPr>
              <w:rPr>
                <w:rFonts w:hint="default" w:ascii="Arial" w:hAnsi="Arial" w:eastAsia="宋体" w:cs="Arial"/>
                <w:i w:val="0"/>
                <w:color w:val="000000"/>
                <w:sz w:val="20"/>
                <w:szCs w:val="20"/>
                <w:highlight w:val="none"/>
                <w:u w:val="none"/>
              </w:rPr>
            </w:pPr>
          </w:p>
        </w:tc>
        <w:tc>
          <w:tcPr>
            <w:tcW w:w="938"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5" w:hRule="atLeast"/>
        </w:trPr>
        <w:tc>
          <w:tcPr>
            <w:tcW w:w="870" w:type="dxa"/>
            <w:tcBorders>
              <w:top w:val="single" w:color="000000" w:sz="8"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经济分类科目编码</w:t>
            </w:r>
          </w:p>
        </w:tc>
        <w:tc>
          <w:tcPr>
            <w:tcW w:w="2923"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科目名称</w:t>
            </w:r>
          </w:p>
        </w:tc>
        <w:tc>
          <w:tcPr>
            <w:tcW w:w="938"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决算数</w:t>
            </w:r>
          </w:p>
        </w:tc>
        <w:tc>
          <w:tcPr>
            <w:tcW w:w="870" w:type="dxa"/>
            <w:tcBorders>
              <w:top w:val="single" w:color="000000" w:sz="8"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经济分类科目编码</w:t>
            </w:r>
          </w:p>
        </w:tc>
        <w:tc>
          <w:tcPr>
            <w:tcW w:w="2066"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科目名称</w:t>
            </w:r>
          </w:p>
        </w:tc>
        <w:tc>
          <w:tcPr>
            <w:tcW w:w="938"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决算数</w:t>
            </w:r>
          </w:p>
        </w:tc>
        <w:tc>
          <w:tcPr>
            <w:tcW w:w="870" w:type="dxa"/>
            <w:tcBorders>
              <w:top w:val="single" w:color="000000" w:sz="8"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经济分类科目编码</w:t>
            </w:r>
          </w:p>
        </w:tc>
        <w:tc>
          <w:tcPr>
            <w:tcW w:w="3575"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科目名称</w:t>
            </w:r>
          </w:p>
        </w:tc>
        <w:tc>
          <w:tcPr>
            <w:tcW w:w="938" w:type="dxa"/>
            <w:tcBorders>
              <w:top w:val="single" w:color="000000" w:sz="8"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870"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301</w:t>
            </w:r>
          </w:p>
        </w:tc>
        <w:tc>
          <w:tcPr>
            <w:tcW w:w="2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工资福利支出</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205.75</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302</w:t>
            </w:r>
          </w:p>
        </w:tc>
        <w:tc>
          <w:tcPr>
            <w:tcW w:w="20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商品和服务支出</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rPr>
              <w:t>2.01</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310</w:t>
            </w:r>
          </w:p>
        </w:tc>
        <w:tc>
          <w:tcPr>
            <w:tcW w:w="3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资本性支出</w:t>
            </w:r>
          </w:p>
        </w:tc>
        <w:tc>
          <w:tcPr>
            <w:tcW w:w="938"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870"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30101</w:t>
            </w:r>
          </w:p>
        </w:tc>
        <w:tc>
          <w:tcPr>
            <w:tcW w:w="2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基本工资</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60.99</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30201</w:t>
            </w:r>
          </w:p>
        </w:tc>
        <w:tc>
          <w:tcPr>
            <w:tcW w:w="20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办公费</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rPr>
              <w:t>1.81</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31001</w:t>
            </w:r>
          </w:p>
        </w:tc>
        <w:tc>
          <w:tcPr>
            <w:tcW w:w="3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房屋建筑物购建</w:t>
            </w:r>
          </w:p>
        </w:tc>
        <w:tc>
          <w:tcPr>
            <w:tcW w:w="938"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870"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30102</w:t>
            </w:r>
          </w:p>
        </w:tc>
        <w:tc>
          <w:tcPr>
            <w:tcW w:w="2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津贴补贴</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38.85</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30202</w:t>
            </w:r>
          </w:p>
        </w:tc>
        <w:tc>
          <w:tcPr>
            <w:tcW w:w="20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印刷费</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31002</w:t>
            </w:r>
          </w:p>
        </w:tc>
        <w:tc>
          <w:tcPr>
            <w:tcW w:w="3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办公设备购置</w:t>
            </w:r>
          </w:p>
        </w:tc>
        <w:tc>
          <w:tcPr>
            <w:tcW w:w="938"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870"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30103</w:t>
            </w:r>
          </w:p>
        </w:tc>
        <w:tc>
          <w:tcPr>
            <w:tcW w:w="2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奖金</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rPr>
              <w:t>40.71</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30203</w:t>
            </w:r>
          </w:p>
        </w:tc>
        <w:tc>
          <w:tcPr>
            <w:tcW w:w="20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咨询费</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31003</w:t>
            </w:r>
          </w:p>
        </w:tc>
        <w:tc>
          <w:tcPr>
            <w:tcW w:w="3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专用设备购置</w:t>
            </w:r>
          </w:p>
        </w:tc>
        <w:tc>
          <w:tcPr>
            <w:tcW w:w="938"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870"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30106</w:t>
            </w:r>
          </w:p>
        </w:tc>
        <w:tc>
          <w:tcPr>
            <w:tcW w:w="2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伙食补助费</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30204</w:t>
            </w:r>
          </w:p>
        </w:tc>
        <w:tc>
          <w:tcPr>
            <w:tcW w:w="20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手续费</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31005</w:t>
            </w:r>
          </w:p>
        </w:tc>
        <w:tc>
          <w:tcPr>
            <w:tcW w:w="3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基础设施建设</w:t>
            </w:r>
          </w:p>
        </w:tc>
        <w:tc>
          <w:tcPr>
            <w:tcW w:w="938"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870"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30107</w:t>
            </w:r>
          </w:p>
        </w:tc>
        <w:tc>
          <w:tcPr>
            <w:tcW w:w="2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绩效工资</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26.10</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30205</w:t>
            </w:r>
          </w:p>
        </w:tc>
        <w:tc>
          <w:tcPr>
            <w:tcW w:w="20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水费</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31006</w:t>
            </w:r>
          </w:p>
        </w:tc>
        <w:tc>
          <w:tcPr>
            <w:tcW w:w="3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大型修缮</w:t>
            </w:r>
          </w:p>
        </w:tc>
        <w:tc>
          <w:tcPr>
            <w:tcW w:w="938"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870"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30108</w:t>
            </w:r>
          </w:p>
        </w:tc>
        <w:tc>
          <w:tcPr>
            <w:tcW w:w="2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机关事业单位基本养老保险费</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14.82</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30206</w:t>
            </w:r>
          </w:p>
        </w:tc>
        <w:tc>
          <w:tcPr>
            <w:tcW w:w="20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电费</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31007</w:t>
            </w:r>
          </w:p>
        </w:tc>
        <w:tc>
          <w:tcPr>
            <w:tcW w:w="3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信息网络及软件购置更新</w:t>
            </w:r>
          </w:p>
        </w:tc>
        <w:tc>
          <w:tcPr>
            <w:tcW w:w="938"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870"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30109</w:t>
            </w:r>
          </w:p>
        </w:tc>
        <w:tc>
          <w:tcPr>
            <w:tcW w:w="2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职业年金缴费</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kern w:val="2"/>
                <w:sz w:val="20"/>
                <w:szCs w:val="20"/>
                <w:highlight w:val="none"/>
                <w:u w:val="none"/>
                <w:lang w:val="en-US" w:eastAsia="zh-CN" w:bidi="ar-SA"/>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30207</w:t>
            </w:r>
          </w:p>
        </w:tc>
        <w:tc>
          <w:tcPr>
            <w:tcW w:w="20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邮电费</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0.20</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31008</w:t>
            </w:r>
          </w:p>
        </w:tc>
        <w:tc>
          <w:tcPr>
            <w:tcW w:w="3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物资储备</w:t>
            </w:r>
          </w:p>
        </w:tc>
        <w:tc>
          <w:tcPr>
            <w:tcW w:w="938"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870"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30110</w:t>
            </w:r>
          </w:p>
        </w:tc>
        <w:tc>
          <w:tcPr>
            <w:tcW w:w="2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职工基本医疗保险缴费</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2"/>
                <w:sz w:val="20"/>
                <w:szCs w:val="20"/>
                <w:highlight w:val="none"/>
                <w:u w:val="none"/>
                <w:lang w:val="en-US" w:eastAsia="zh-CN" w:bidi="ar-SA"/>
              </w:rPr>
              <w:t>5.84</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30208</w:t>
            </w:r>
          </w:p>
        </w:tc>
        <w:tc>
          <w:tcPr>
            <w:tcW w:w="20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取暖费</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31009</w:t>
            </w:r>
          </w:p>
        </w:tc>
        <w:tc>
          <w:tcPr>
            <w:tcW w:w="3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土地补偿</w:t>
            </w:r>
          </w:p>
        </w:tc>
        <w:tc>
          <w:tcPr>
            <w:tcW w:w="938"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870"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30111</w:t>
            </w:r>
          </w:p>
        </w:tc>
        <w:tc>
          <w:tcPr>
            <w:tcW w:w="2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公务员医疗补助缴费</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kern w:val="2"/>
                <w:sz w:val="20"/>
                <w:szCs w:val="20"/>
                <w:highlight w:val="none"/>
                <w:u w:val="none"/>
                <w:lang w:val="en-US" w:eastAsia="zh-CN" w:bidi="ar-SA"/>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30209</w:t>
            </w:r>
          </w:p>
        </w:tc>
        <w:tc>
          <w:tcPr>
            <w:tcW w:w="20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物业管理费</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31010</w:t>
            </w:r>
          </w:p>
        </w:tc>
        <w:tc>
          <w:tcPr>
            <w:tcW w:w="3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安置补助</w:t>
            </w:r>
          </w:p>
        </w:tc>
        <w:tc>
          <w:tcPr>
            <w:tcW w:w="938"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870"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30112</w:t>
            </w:r>
          </w:p>
        </w:tc>
        <w:tc>
          <w:tcPr>
            <w:tcW w:w="2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其他社会保障缴费</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2"/>
                <w:sz w:val="20"/>
                <w:szCs w:val="20"/>
                <w:highlight w:val="none"/>
                <w:u w:val="none"/>
                <w:lang w:val="en-US" w:eastAsia="zh-CN" w:bidi="ar-SA"/>
              </w:rPr>
              <w:t>0.74</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30211</w:t>
            </w:r>
          </w:p>
        </w:tc>
        <w:tc>
          <w:tcPr>
            <w:tcW w:w="20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差旅费</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31011</w:t>
            </w:r>
          </w:p>
        </w:tc>
        <w:tc>
          <w:tcPr>
            <w:tcW w:w="3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地上附着物和青苗补偿</w:t>
            </w:r>
          </w:p>
        </w:tc>
        <w:tc>
          <w:tcPr>
            <w:tcW w:w="938"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870"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30113</w:t>
            </w:r>
          </w:p>
        </w:tc>
        <w:tc>
          <w:tcPr>
            <w:tcW w:w="2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住房公积金</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2"/>
                <w:sz w:val="20"/>
                <w:szCs w:val="20"/>
                <w:highlight w:val="none"/>
                <w:u w:val="none"/>
                <w:lang w:val="en-US" w:eastAsia="zh-CN" w:bidi="ar-SA"/>
              </w:rPr>
              <w:t>17.70</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30212</w:t>
            </w:r>
          </w:p>
        </w:tc>
        <w:tc>
          <w:tcPr>
            <w:tcW w:w="20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因公出国（境）费用</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31012</w:t>
            </w:r>
          </w:p>
        </w:tc>
        <w:tc>
          <w:tcPr>
            <w:tcW w:w="3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拆迁补偿</w:t>
            </w:r>
          </w:p>
        </w:tc>
        <w:tc>
          <w:tcPr>
            <w:tcW w:w="938"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870"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30114</w:t>
            </w:r>
          </w:p>
        </w:tc>
        <w:tc>
          <w:tcPr>
            <w:tcW w:w="2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医疗费</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kern w:val="2"/>
                <w:sz w:val="20"/>
                <w:szCs w:val="20"/>
                <w:highlight w:val="none"/>
                <w:u w:val="none"/>
                <w:lang w:val="en-US" w:eastAsia="zh-CN" w:bidi="ar-SA"/>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30213</w:t>
            </w:r>
          </w:p>
        </w:tc>
        <w:tc>
          <w:tcPr>
            <w:tcW w:w="20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维修（护）费</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31013</w:t>
            </w:r>
          </w:p>
        </w:tc>
        <w:tc>
          <w:tcPr>
            <w:tcW w:w="3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公务用车购置</w:t>
            </w:r>
          </w:p>
        </w:tc>
        <w:tc>
          <w:tcPr>
            <w:tcW w:w="938"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870"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30199</w:t>
            </w:r>
          </w:p>
        </w:tc>
        <w:tc>
          <w:tcPr>
            <w:tcW w:w="2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其他工资福利支出</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kern w:val="2"/>
                <w:sz w:val="20"/>
                <w:szCs w:val="20"/>
                <w:highlight w:val="none"/>
                <w:u w:val="none"/>
                <w:lang w:val="en-US" w:eastAsia="zh-CN" w:bidi="ar-SA"/>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30214</w:t>
            </w:r>
          </w:p>
        </w:tc>
        <w:tc>
          <w:tcPr>
            <w:tcW w:w="20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租赁费</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31019</w:t>
            </w:r>
          </w:p>
        </w:tc>
        <w:tc>
          <w:tcPr>
            <w:tcW w:w="3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其他交通工具购置</w:t>
            </w:r>
          </w:p>
        </w:tc>
        <w:tc>
          <w:tcPr>
            <w:tcW w:w="938"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870"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303</w:t>
            </w:r>
          </w:p>
        </w:tc>
        <w:tc>
          <w:tcPr>
            <w:tcW w:w="2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对个人和家庭的补助</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2"/>
                <w:sz w:val="20"/>
                <w:szCs w:val="20"/>
                <w:highlight w:val="none"/>
                <w:u w:val="none"/>
                <w:lang w:val="en-US" w:eastAsia="zh-CN" w:bidi="ar-SA"/>
              </w:rPr>
              <w:t>6.54</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30215</w:t>
            </w:r>
          </w:p>
        </w:tc>
        <w:tc>
          <w:tcPr>
            <w:tcW w:w="20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会议费</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31021</w:t>
            </w:r>
          </w:p>
        </w:tc>
        <w:tc>
          <w:tcPr>
            <w:tcW w:w="3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文物和陈列品购置</w:t>
            </w:r>
          </w:p>
        </w:tc>
        <w:tc>
          <w:tcPr>
            <w:tcW w:w="938"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870"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30301</w:t>
            </w:r>
          </w:p>
        </w:tc>
        <w:tc>
          <w:tcPr>
            <w:tcW w:w="2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离休费</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kern w:val="2"/>
                <w:sz w:val="20"/>
                <w:szCs w:val="20"/>
                <w:highlight w:val="none"/>
                <w:u w:val="none"/>
                <w:lang w:val="en-US" w:eastAsia="zh-CN" w:bidi="ar-SA"/>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30216</w:t>
            </w:r>
          </w:p>
        </w:tc>
        <w:tc>
          <w:tcPr>
            <w:tcW w:w="20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培训费</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31022</w:t>
            </w:r>
          </w:p>
        </w:tc>
        <w:tc>
          <w:tcPr>
            <w:tcW w:w="3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无形资产购置</w:t>
            </w:r>
          </w:p>
        </w:tc>
        <w:tc>
          <w:tcPr>
            <w:tcW w:w="938"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870"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30302</w:t>
            </w:r>
          </w:p>
        </w:tc>
        <w:tc>
          <w:tcPr>
            <w:tcW w:w="2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退休费</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2"/>
                <w:sz w:val="20"/>
                <w:szCs w:val="20"/>
                <w:highlight w:val="none"/>
                <w:u w:val="none"/>
                <w:lang w:val="en-US" w:eastAsia="zh-CN" w:bidi="ar-SA"/>
              </w:rPr>
              <w:t>6.54</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30217</w:t>
            </w:r>
          </w:p>
        </w:tc>
        <w:tc>
          <w:tcPr>
            <w:tcW w:w="20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公务招待费</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31099</w:t>
            </w:r>
          </w:p>
        </w:tc>
        <w:tc>
          <w:tcPr>
            <w:tcW w:w="3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其他资本性支出</w:t>
            </w:r>
          </w:p>
        </w:tc>
        <w:tc>
          <w:tcPr>
            <w:tcW w:w="938"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870"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30303</w:t>
            </w:r>
          </w:p>
        </w:tc>
        <w:tc>
          <w:tcPr>
            <w:tcW w:w="2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退职（役）费</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30218</w:t>
            </w:r>
          </w:p>
        </w:tc>
        <w:tc>
          <w:tcPr>
            <w:tcW w:w="20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专用材料费</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312</w:t>
            </w:r>
          </w:p>
        </w:tc>
        <w:tc>
          <w:tcPr>
            <w:tcW w:w="3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对企业补助</w:t>
            </w:r>
          </w:p>
        </w:tc>
        <w:tc>
          <w:tcPr>
            <w:tcW w:w="938"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870"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30304</w:t>
            </w:r>
          </w:p>
        </w:tc>
        <w:tc>
          <w:tcPr>
            <w:tcW w:w="2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抚恤金</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30224</w:t>
            </w:r>
          </w:p>
        </w:tc>
        <w:tc>
          <w:tcPr>
            <w:tcW w:w="20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被装购置费</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31201</w:t>
            </w:r>
          </w:p>
        </w:tc>
        <w:tc>
          <w:tcPr>
            <w:tcW w:w="3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资本金注入</w:t>
            </w:r>
          </w:p>
        </w:tc>
        <w:tc>
          <w:tcPr>
            <w:tcW w:w="938"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870"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30305</w:t>
            </w:r>
          </w:p>
        </w:tc>
        <w:tc>
          <w:tcPr>
            <w:tcW w:w="2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生活补助</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30225</w:t>
            </w:r>
          </w:p>
        </w:tc>
        <w:tc>
          <w:tcPr>
            <w:tcW w:w="20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专用燃料费</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31203</w:t>
            </w:r>
          </w:p>
        </w:tc>
        <w:tc>
          <w:tcPr>
            <w:tcW w:w="3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政府投资基金股权投资</w:t>
            </w:r>
          </w:p>
        </w:tc>
        <w:tc>
          <w:tcPr>
            <w:tcW w:w="938"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870"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30306</w:t>
            </w:r>
          </w:p>
        </w:tc>
        <w:tc>
          <w:tcPr>
            <w:tcW w:w="2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救济费</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30226</w:t>
            </w:r>
          </w:p>
        </w:tc>
        <w:tc>
          <w:tcPr>
            <w:tcW w:w="20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劳务费</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31204</w:t>
            </w:r>
          </w:p>
        </w:tc>
        <w:tc>
          <w:tcPr>
            <w:tcW w:w="3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费用补贴</w:t>
            </w:r>
          </w:p>
        </w:tc>
        <w:tc>
          <w:tcPr>
            <w:tcW w:w="938"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870"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30307</w:t>
            </w:r>
          </w:p>
        </w:tc>
        <w:tc>
          <w:tcPr>
            <w:tcW w:w="2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医疗费补助</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30227</w:t>
            </w:r>
          </w:p>
        </w:tc>
        <w:tc>
          <w:tcPr>
            <w:tcW w:w="20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委托业务费</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31205</w:t>
            </w:r>
          </w:p>
        </w:tc>
        <w:tc>
          <w:tcPr>
            <w:tcW w:w="3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利息补贴</w:t>
            </w:r>
          </w:p>
        </w:tc>
        <w:tc>
          <w:tcPr>
            <w:tcW w:w="938"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870"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30308</w:t>
            </w:r>
          </w:p>
        </w:tc>
        <w:tc>
          <w:tcPr>
            <w:tcW w:w="2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助学金</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30228</w:t>
            </w:r>
          </w:p>
        </w:tc>
        <w:tc>
          <w:tcPr>
            <w:tcW w:w="20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工会经费</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31299</w:t>
            </w:r>
          </w:p>
        </w:tc>
        <w:tc>
          <w:tcPr>
            <w:tcW w:w="3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其他对企业补助</w:t>
            </w:r>
          </w:p>
        </w:tc>
        <w:tc>
          <w:tcPr>
            <w:tcW w:w="938"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870"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30309</w:t>
            </w:r>
          </w:p>
        </w:tc>
        <w:tc>
          <w:tcPr>
            <w:tcW w:w="2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奖励金</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30229</w:t>
            </w:r>
          </w:p>
        </w:tc>
        <w:tc>
          <w:tcPr>
            <w:tcW w:w="20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福利费</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313</w:t>
            </w:r>
          </w:p>
        </w:tc>
        <w:tc>
          <w:tcPr>
            <w:tcW w:w="3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对社会保障基金补助</w:t>
            </w:r>
          </w:p>
        </w:tc>
        <w:tc>
          <w:tcPr>
            <w:tcW w:w="938"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870"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30310</w:t>
            </w:r>
          </w:p>
        </w:tc>
        <w:tc>
          <w:tcPr>
            <w:tcW w:w="2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个人农业生产补贴</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30231</w:t>
            </w:r>
          </w:p>
        </w:tc>
        <w:tc>
          <w:tcPr>
            <w:tcW w:w="20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公务用车运行维护费</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31302</w:t>
            </w:r>
          </w:p>
        </w:tc>
        <w:tc>
          <w:tcPr>
            <w:tcW w:w="3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对社会保险基金补助</w:t>
            </w:r>
          </w:p>
        </w:tc>
        <w:tc>
          <w:tcPr>
            <w:tcW w:w="938"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870"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30399</w:t>
            </w:r>
          </w:p>
        </w:tc>
        <w:tc>
          <w:tcPr>
            <w:tcW w:w="2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对其他个人和家庭的补助支出</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30239</w:t>
            </w:r>
          </w:p>
        </w:tc>
        <w:tc>
          <w:tcPr>
            <w:tcW w:w="20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其他交通费用</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31303</w:t>
            </w:r>
          </w:p>
        </w:tc>
        <w:tc>
          <w:tcPr>
            <w:tcW w:w="3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补充全国社会保障基金</w:t>
            </w:r>
          </w:p>
        </w:tc>
        <w:tc>
          <w:tcPr>
            <w:tcW w:w="938"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870"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2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30240</w:t>
            </w:r>
          </w:p>
        </w:tc>
        <w:tc>
          <w:tcPr>
            <w:tcW w:w="20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税金及附加费用</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399</w:t>
            </w:r>
          </w:p>
        </w:tc>
        <w:tc>
          <w:tcPr>
            <w:tcW w:w="3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其他支出</w:t>
            </w:r>
          </w:p>
        </w:tc>
        <w:tc>
          <w:tcPr>
            <w:tcW w:w="938"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870"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2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30299</w:t>
            </w:r>
          </w:p>
        </w:tc>
        <w:tc>
          <w:tcPr>
            <w:tcW w:w="20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其他商品和服务支出</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39906</w:t>
            </w:r>
          </w:p>
        </w:tc>
        <w:tc>
          <w:tcPr>
            <w:tcW w:w="3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赠与</w:t>
            </w:r>
          </w:p>
        </w:tc>
        <w:tc>
          <w:tcPr>
            <w:tcW w:w="938"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870"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2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307</w:t>
            </w:r>
          </w:p>
        </w:tc>
        <w:tc>
          <w:tcPr>
            <w:tcW w:w="20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债务利息及费用支出</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39907</w:t>
            </w:r>
          </w:p>
        </w:tc>
        <w:tc>
          <w:tcPr>
            <w:tcW w:w="3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国家赔偿费用支出</w:t>
            </w:r>
          </w:p>
        </w:tc>
        <w:tc>
          <w:tcPr>
            <w:tcW w:w="938"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870"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2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30701</w:t>
            </w:r>
          </w:p>
        </w:tc>
        <w:tc>
          <w:tcPr>
            <w:tcW w:w="20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国内债务付息</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39908</w:t>
            </w:r>
          </w:p>
        </w:tc>
        <w:tc>
          <w:tcPr>
            <w:tcW w:w="3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对民间非营利组织和群众性自治组织补贴</w:t>
            </w:r>
          </w:p>
        </w:tc>
        <w:tc>
          <w:tcPr>
            <w:tcW w:w="938"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870"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2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30702</w:t>
            </w:r>
          </w:p>
        </w:tc>
        <w:tc>
          <w:tcPr>
            <w:tcW w:w="20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国外债务付息</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39999</w:t>
            </w:r>
          </w:p>
        </w:tc>
        <w:tc>
          <w:tcPr>
            <w:tcW w:w="3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其他支出</w:t>
            </w:r>
          </w:p>
        </w:tc>
        <w:tc>
          <w:tcPr>
            <w:tcW w:w="938"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870"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29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30703</w:t>
            </w:r>
          </w:p>
        </w:tc>
        <w:tc>
          <w:tcPr>
            <w:tcW w:w="20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国内债务发行费用</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3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938"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3793" w:type="dxa"/>
            <w:gridSpan w:val="2"/>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30704</w:t>
            </w:r>
          </w:p>
        </w:tc>
        <w:tc>
          <w:tcPr>
            <w:tcW w:w="20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国外债务发行费用</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3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938"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3793" w:type="dxa"/>
            <w:gridSpan w:val="2"/>
            <w:tcBorders>
              <w:top w:val="single" w:color="000000" w:sz="4" w:space="0"/>
              <w:left w:val="single" w:color="000000" w:sz="8" w:space="0"/>
              <w:bottom w:val="single" w:color="000000" w:sz="8"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人员经费合计</w:t>
            </w:r>
          </w:p>
        </w:tc>
        <w:tc>
          <w:tcPr>
            <w:tcW w:w="938"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righ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212.29</w:t>
            </w:r>
          </w:p>
        </w:tc>
        <w:tc>
          <w:tcPr>
            <w:tcW w:w="8319" w:type="dxa"/>
            <w:gridSpan w:val="5"/>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公用经费合计</w:t>
            </w:r>
          </w:p>
        </w:tc>
        <w:tc>
          <w:tcPr>
            <w:tcW w:w="938" w:type="dxa"/>
            <w:tcBorders>
              <w:top w:val="single" w:color="000000" w:sz="4" w:space="0"/>
              <w:left w:val="single" w:color="000000" w:sz="4" w:space="0"/>
              <w:bottom w:val="single" w:color="000000" w:sz="8" w:space="0"/>
              <w:right w:val="single" w:color="000000" w:sz="8" w:space="0"/>
            </w:tcBorders>
            <w:noWrap w:val="0"/>
            <w:tcMar>
              <w:top w:w="15" w:type="dxa"/>
              <w:left w:w="15" w:type="dxa"/>
              <w:right w:w="15" w:type="dxa"/>
            </w:tcMar>
            <w:vAlign w:val="center"/>
          </w:tcPr>
          <w:p>
            <w:pPr>
              <w:jc w:val="right"/>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trPr>
        <w:tc>
          <w:tcPr>
            <w:tcW w:w="13988" w:type="dxa"/>
            <w:gridSpan w:val="9"/>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注：本表反映部门本年度一般公共预算财政拨款基本支出明细情况。本表金额转换为万元时，因四舍五入可能存在尾差。</w:t>
            </w:r>
          </w:p>
        </w:tc>
      </w:tr>
    </w:tbl>
    <w:p>
      <w:pPr>
        <w:rPr>
          <w:rFonts w:hint="eastAsia" w:ascii="仿宋_GB2312" w:hAnsi="仿宋_GB2312" w:eastAsia="仿宋_GB2312" w:cs="仿宋_GB2312"/>
          <w:color w:val="auto"/>
          <w:sz w:val="32"/>
          <w:szCs w:val="32"/>
          <w:highlight w:val="none"/>
        </w:rPr>
        <w:sectPr>
          <w:pgSz w:w="16838" w:h="11906" w:orient="landscape"/>
          <w:pgMar w:top="1800" w:right="1440" w:bottom="1800" w:left="1440" w:header="720" w:footer="720" w:gutter="0"/>
          <w:pgNumType w:fmt="numberInDash"/>
          <w:cols w:space="720" w:num="1"/>
          <w:docGrid w:type="lines" w:linePitch="312" w:charSpace="0"/>
        </w:sectPr>
      </w:pP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151"/>
        <w:gridCol w:w="1149"/>
        <w:gridCol w:w="1150"/>
        <w:gridCol w:w="1150"/>
        <w:gridCol w:w="1151"/>
        <w:gridCol w:w="1150"/>
        <w:gridCol w:w="1151"/>
        <w:gridCol w:w="1151"/>
        <w:gridCol w:w="1151"/>
        <w:gridCol w:w="1151"/>
        <w:gridCol w:w="1151"/>
        <w:gridCol w:w="11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13807" w:type="dxa"/>
            <w:gridSpan w:val="12"/>
            <w:tcBorders>
              <w:top w:val="nil"/>
              <w:left w:val="nil"/>
              <w:bottom w:val="nil"/>
              <w:right w:val="nil"/>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highlight w:val="none"/>
                <w:u w:val="none"/>
              </w:rPr>
            </w:pPr>
            <w:r>
              <w:rPr>
                <w:rFonts w:hint="eastAsia" w:ascii="华文中宋" w:hAnsi="华文中宋" w:eastAsia="华文中宋" w:cs="华文中宋"/>
                <w:i w:val="0"/>
                <w:color w:val="000000"/>
                <w:kern w:val="0"/>
                <w:sz w:val="32"/>
                <w:szCs w:val="32"/>
                <w:highlight w:val="none"/>
                <w:u w:val="none"/>
                <w:lang w:val="en-US" w:eastAsia="zh-CN" w:bidi="ar"/>
              </w:rPr>
              <w:t>一</w:t>
            </w:r>
            <w:r>
              <w:rPr>
                <w:rFonts w:hint="eastAsia" w:ascii="华文中宋" w:hAnsi="华文中宋" w:eastAsia="华文中宋" w:cs="华文中宋"/>
                <w:i w:val="0"/>
                <w:color w:val="000000"/>
                <w:kern w:val="0"/>
                <w:sz w:val="30"/>
                <w:szCs w:val="30"/>
                <w:highlight w:val="none"/>
                <w:u w:val="none"/>
                <w:lang w:val="en-US" w:eastAsia="zh-CN" w:bidi="ar"/>
              </w:rPr>
              <w:t>般公共预算财政拨款“三公”经费支出决算表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2" w:hRule="atLeast"/>
        </w:trPr>
        <w:tc>
          <w:tcPr>
            <w:tcW w:w="1151"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49"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0"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0"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0"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nil"/>
              <w:left w:val="nil"/>
              <w:bottom w:val="nil"/>
              <w:right w:val="nil"/>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4600" w:type="dxa"/>
            <w:gridSpan w:val="4"/>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部门：许昌市建安区建筑工程标准定额管理站</w:t>
            </w:r>
          </w:p>
        </w:tc>
        <w:tc>
          <w:tcPr>
            <w:tcW w:w="1151" w:type="dxa"/>
            <w:tcBorders>
              <w:top w:val="nil"/>
              <w:left w:val="nil"/>
              <w:bottom w:val="single" w:color="000000" w:sz="8" w:space="0"/>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0" w:type="dxa"/>
            <w:tcBorders>
              <w:top w:val="nil"/>
              <w:left w:val="nil"/>
              <w:bottom w:val="single" w:color="000000" w:sz="8" w:space="0"/>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nil"/>
              <w:left w:val="nil"/>
              <w:bottom w:val="single" w:color="000000" w:sz="8" w:space="0"/>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nil"/>
              <w:left w:val="nil"/>
              <w:bottom w:val="single" w:color="000000" w:sz="8" w:space="0"/>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nil"/>
              <w:left w:val="nil"/>
              <w:bottom w:val="single" w:color="000000" w:sz="8" w:space="0"/>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nil"/>
              <w:left w:val="nil"/>
              <w:bottom w:val="single" w:color="000000" w:sz="8" w:space="0"/>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nil"/>
              <w:left w:val="nil"/>
              <w:bottom w:val="nil"/>
              <w:right w:val="nil"/>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9" w:hRule="atLeast"/>
        </w:trPr>
        <w:tc>
          <w:tcPr>
            <w:tcW w:w="6901" w:type="dxa"/>
            <w:gridSpan w:val="6"/>
            <w:tcBorders>
              <w:top w:val="single" w:color="000000" w:sz="8"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预算数</w:t>
            </w:r>
          </w:p>
        </w:tc>
        <w:tc>
          <w:tcPr>
            <w:tcW w:w="6906" w:type="dxa"/>
            <w:gridSpan w:val="6"/>
            <w:tcBorders>
              <w:top w:val="single" w:color="000000" w:sz="8"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1151" w:type="dxa"/>
            <w:vMerge w:val="restart"/>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合计</w:t>
            </w:r>
          </w:p>
        </w:tc>
        <w:tc>
          <w:tcPr>
            <w:tcW w:w="114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因公出国（境）费</w:t>
            </w:r>
          </w:p>
        </w:tc>
        <w:tc>
          <w:tcPr>
            <w:tcW w:w="345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公务用车购置及运行费</w:t>
            </w:r>
          </w:p>
        </w:tc>
        <w:tc>
          <w:tcPr>
            <w:tcW w:w="115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公务接待费</w:t>
            </w:r>
          </w:p>
        </w:tc>
        <w:tc>
          <w:tcPr>
            <w:tcW w:w="1151" w:type="dxa"/>
            <w:vMerge w:val="restart"/>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合计</w:t>
            </w:r>
          </w:p>
        </w:tc>
        <w:tc>
          <w:tcPr>
            <w:tcW w:w="115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因公出国（境）费</w:t>
            </w:r>
          </w:p>
        </w:tc>
        <w:tc>
          <w:tcPr>
            <w:tcW w:w="345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公务用车购置及运行费</w:t>
            </w:r>
          </w:p>
        </w:tc>
        <w:tc>
          <w:tcPr>
            <w:tcW w:w="1151" w:type="dxa"/>
            <w:vMerge w:val="restart"/>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115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14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150"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小计</w:t>
            </w:r>
          </w:p>
        </w:tc>
        <w:tc>
          <w:tcPr>
            <w:tcW w:w="1150"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公务用车</w:t>
            </w:r>
          </w:p>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购置费</w:t>
            </w:r>
          </w:p>
        </w:tc>
        <w:tc>
          <w:tcPr>
            <w:tcW w:w="1151"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公务用车</w:t>
            </w:r>
          </w:p>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运行费</w:t>
            </w:r>
          </w:p>
        </w:tc>
        <w:tc>
          <w:tcPr>
            <w:tcW w:w="115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151" w:type="dxa"/>
            <w:vMerge w:val="continue"/>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1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151"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小计</w:t>
            </w:r>
          </w:p>
        </w:tc>
        <w:tc>
          <w:tcPr>
            <w:tcW w:w="1151"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公务用车</w:t>
            </w:r>
          </w:p>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购置费</w:t>
            </w:r>
          </w:p>
        </w:tc>
        <w:tc>
          <w:tcPr>
            <w:tcW w:w="1151"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公务用车</w:t>
            </w:r>
          </w:p>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运行费</w:t>
            </w:r>
          </w:p>
        </w:tc>
        <w:tc>
          <w:tcPr>
            <w:tcW w:w="1151" w:type="dxa"/>
            <w:vMerge w:val="continue"/>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9" w:hRule="atLeast"/>
        </w:trPr>
        <w:tc>
          <w:tcPr>
            <w:tcW w:w="1151"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11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w:t>
            </w:r>
          </w:p>
        </w:tc>
        <w:tc>
          <w:tcPr>
            <w:tcW w:w="11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w:t>
            </w:r>
          </w:p>
        </w:tc>
        <w:tc>
          <w:tcPr>
            <w:tcW w:w="11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4</w:t>
            </w:r>
          </w:p>
        </w:tc>
        <w:tc>
          <w:tcPr>
            <w:tcW w:w="11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5</w:t>
            </w:r>
          </w:p>
        </w:tc>
        <w:tc>
          <w:tcPr>
            <w:tcW w:w="11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6</w:t>
            </w:r>
          </w:p>
        </w:tc>
        <w:tc>
          <w:tcPr>
            <w:tcW w:w="11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7</w:t>
            </w:r>
          </w:p>
        </w:tc>
        <w:tc>
          <w:tcPr>
            <w:tcW w:w="11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8</w:t>
            </w:r>
          </w:p>
        </w:tc>
        <w:tc>
          <w:tcPr>
            <w:tcW w:w="11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9</w:t>
            </w:r>
          </w:p>
        </w:tc>
        <w:tc>
          <w:tcPr>
            <w:tcW w:w="11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10</w:t>
            </w:r>
          </w:p>
        </w:tc>
        <w:tc>
          <w:tcPr>
            <w:tcW w:w="11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11</w:t>
            </w:r>
          </w:p>
        </w:tc>
        <w:tc>
          <w:tcPr>
            <w:tcW w:w="1151"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5" w:hRule="atLeast"/>
        </w:trPr>
        <w:tc>
          <w:tcPr>
            <w:tcW w:w="1151" w:type="dxa"/>
            <w:tcBorders>
              <w:top w:val="single" w:color="000000" w:sz="4" w:space="0"/>
              <w:left w:val="single" w:color="000000" w:sz="8" w:space="0"/>
              <w:bottom w:val="single" w:color="000000" w:sz="8"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49"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single" w:color="000000" w:sz="4" w:space="0"/>
              <w:left w:val="single" w:color="000000" w:sz="4" w:space="0"/>
              <w:bottom w:val="single" w:color="000000" w:sz="8" w:space="0"/>
              <w:right w:val="nil"/>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single" w:color="000000" w:sz="4" w:space="0"/>
              <w:left w:val="single" w:color="000000" w:sz="4" w:space="0"/>
              <w:bottom w:val="single" w:color="000000" w:sz="8"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0" w:hRule="atLeast"/>
        </w:trPr>
        <w:tc>
          <w:tcPr>
            <w:tcW w:w="13807" w:type="dxa"/>
            <w:gridSpan w:val="12"/>
            <w:tcBorders>
              <w:top w:val="single" w:color="000000" w:sz="8" w:space="0"/>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注：本表反映部门本年度“三公”经费支出预决算情况。其中，预算数为“三公”经费全年预算数，反映按规定程序调整后的预算数；决算数是包括当年一般公共预算财政拨款和以前年度结转资金安排的实际支出。</w:t>
            </w:r>
          </w:p>
        </w:tc>
      </w:tr>
    </w:tbl>
    <w:p>
      <w:pPr>
        <w:rPr>
          <w:rFonts w:hint="eastAsia" w:ascii="仿宋_GB2312" w:hAnsi="仿宋_GB2312" w:eastAsia="仿宋_GB2312" w:cs="仿宋_GB2312"/>
          <w:color w:val="auto"/>
          <w:sz w:val="32"/>
          <w:szCs w:val="32"/>
          <w:highlight w:val="none"/>
        </w:rPr>
      </w:pPr>
    </w:p>
    <w:p>
      <w:pPr>
        <w:rPr>
          <w:rFonts w:hint="eastAsia" w:ascii="仿宋_GB2312" w:hAnsi="仿宋_GB2312" w:eastAsia="仿宋_GB2312" w:cs="仿宋_GB2312"/>
          <w:color w:val="auto"/>
          <w:sz w:val="32"/>
          <w:szCs w:val="32"/>
          <w:highlight w:val="none"/>
        </w:rPr>
      </w:pPr>
    </w:p>
    <w:p>
      <w:pPr>
        <w:rPr>
          <w:rFonts w:hint="eastAsia" w:ascii="仿宋_GB2312" w:hAnsi="仿宋_GB2312" w:eastAsia="仿宋_GB2312" w:cs="仿宋_GB2312"/>
          <w:color w:val="auto"/>
          <w:sz w:val="32"/>
          <w:szCs w:val="32"/>
          <w:highlight w:val="none"/>
        </w:rPr>
        <w:sectPr>
          <w:pgSz w:w="16838" w:h="11906" w:orient="landscape"/>
          <w:pgMar w:top="2098" w:right="1474" w:bottom="1984" w:left="1587" w:header="720" w:footer="720" w:gutter="0"/>
          <w:pgNumType w:fmt="numberInDash"/>
          <w:cols w:space="720" w:num="1"/>
          <w:docGrid w:type="lines" w:linePitch="312" w:charSpace="0"/>
        </w:sectPr>
      </w:pPr>
      <w:r>
        <w:rPr>
          <w:rFonts w:hint="eastAsia" w:ascii="仿宋_GB2312" w:hAnsi="仿宋_GB2312" w:eastAsia="仿宋_GB2312" w:cs="仿宋_GB2312"/>
          <w:color w:val="auto"/>
          <w:sz w:val="32"/>
          <w:szCs w:val="32"/>
          <w:highlight w:val="none"/>
          <w:lang w:val="en-US" w:eastAsia="zh-CN"/>
        </w:rPr>
        <w:t xml:space="preserve">    说明：我部门没有预算安排的三公经费，也没有预算安排的三公支出，故本表无数据。</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12"/>
        <w:gridCol w:w="536"/>
        <w:gridCol w:w="1276"/>
        <w:gridCol w:w="1926"/>
        <w:gridCol w:w="1926"/>
        <w:gridCol w:w="1926"/>
        <w:gridCol w:w="1927"/>
        <w:gridCol w:w="1926"/>
        <w:gridCol w:w="19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13988" w:type="dxa"/>
            <w:gridSpan w:val="9"/>
            <w:tcBorders>
              <w:top w:val="nil"/>
              <w:left w:val="nil"/>
              <w:bottom w:val="nil"/>
              <w:right w:val="nil"/>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highlight w:val="none"/>
                <w:u w:val="none"/>
              </w:rPr>
            </w:pPr>
            <w:r>
              <w:rPr>
                <w:rFonts w:hint="eastAsia" w:ascii="华文中宋" w:hAnsi="华文中宋" w:eastAsia="华文中宋" w:cs="华文中宋"/>
                <w:i w:val="0"/>
                <w:color w:val="000000"/>
                <w:kern w:val="0"/>
                <w:sz w:val="32"/>
                <w:szCs w:val="32"/>
                <w:highlight w:val="none"/>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2" w:hRule="atLeast"/>
        </w:trPr>
        <w:tc>
          <w:tcPr>
            <w:tcW w:w="612" w:type="dxa"/>
            <w:tcBorders>
              <w:top w:val="nil"/>
              <w:left w:val="nil"/>
              <w:bottom w:val="nil"/>
              <w:right w:val="nil"/>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536" w:type="dxa"/>
            <w:tcBorders>
              <w:top w:val="nil"/>
              <w:left w:val="nil"/>
              <w:bottom w:val="nil"/>
              <w:right w:val="nil"/>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276" w:type="dxa"/>
            <w:tcBorders>
              <w:top w:val="nil"/>
              <w:left w:val="nil"/>
              <w:bottom w:val="nil"/>
              <w:right w:val="nil"/>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926"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6"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6"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7"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6"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33" w:type="dxa"/>
            <w:tcBorders>
              <w:top w:val="nil"/>
              <w:left w:val="nil"/>
              <w:bottom w:val="nil"/>
              <w:right w:val="nil"/>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4350" w:type="dxa"/>
            <w:gridSpan w:val="4"/>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部门：许昌市建安区建筑工程标准定额管理站</w:t>
            </w:r>
          </w:p>
        </w:tc>
        <w:tc>
          <w:tcPr>
            <w:tcW w:w="1926" w:type="dxa"/>
            <w:tcBorders>
              <w:top w:val="nil"/>
              <w:left w:val="nil"/>
              <w:bottom w:val="single" w:color="000000" w:sz="8" w:space="0"/>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6" w:type="dxa"/>
            <w:tcBorders>
              <w:top w:val="nil"/>
              <w:left w:val="nil"/>
              <w:bottom w:val="single" w:color="000000" w:sz="8" w:space="0"/>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7" w:type="dxa"/>
            <w:tcBorders>
              <w:top w:val="nil"/>
              <w:left w:val="nil"/>
              <w:bottom w:val="single" w:color="000000" w:sz="8" w:space="0"/>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6"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33" w:type="dxa"/>
            <w:tcBorders>
              <w:top w:val="nil"/>
              <w:left w:val="nil"/>
              <w:bottom w:val="nil"/>
              <w:right w:val="nil"/>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2424" w:type="dxa"/>
            <w:gridSpan w:val="3"/>
            <w:tcBorders>
              <w:top w:val="single" w:color="000000" w:sz="8"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项    目</w:t>
            </w:r>
          </w:p>
        </w:tc>
        <w:tc>
          <w:tcPr>
            <w:tcW w:w="1926" w:type="dxa"/>
            <w:vMerge w:val="restart"/>
            <w:tcBorders>
              <w:top w:val="single" w:color="000000" w:sz="8" w:space="0"/>
              <w:left w:val="single" w:color="000000" w:sz="4" w:space="0"/>
              <w:bottom w:val="single" w:color="000000" w:sz="4" w:space="0"/>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年初结转和结余</w:t>
            </w:r>
          </w:p>
        </w:tc>
        <w:tc>
          <w:tcPr>
            <w:tcW w:w="1926" w:type="dxa"/>
            <w:vMerge w:val="restart"/>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本年收入</w:t>
            </w:r>
          </w:p>
        </w:tc>
        <w:tc>
          <w:tcPr>
            <w:tcW w:w="5779" w:type="dxa"/>
            <w:gridSpan w:val="3"/>
            <w:tcBorders>
              <w:top w:val="single" w:color="000000" w:sz="8" w:space="0"/>
              <w:left w:val="single" w:color="000000" w:sz="4" w:space="0"/>
              <w:bottom w:val="single" w:color="000000" w:sz="4" w:space="0"/>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本年支出</w:t>
            </w:r>
          </w:p>
        </w:tc>
        <w:tc>
          <w:tcPr>
            <w:tcW w:w="1933" w:type="dxa"/>
            <w:vMerge w:val="restart"/>
            <w:tcBorders>
              <w:top w:val="single" w:color="000000" w:sz="8"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1148" w:type="dxa"/>
            <w:gridSpan w:val="2"/>
            <w:vMerge w:val="restart"/>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功能分类</w:t>
            </w:r>
          </w:p>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科目编码</w:t>
            </w:r>
          </w:p>
        </w:tc>
        <w:tc>
          <w:tcPr>
            <w:tcW w:w="127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科目名称</w:t>
            </w:r>
          </w:p>
        </w:tc>
        <w:tc>
          <w:tcPr>
            <w:tcW w:w="1926" w:type="dxa"/>
            <w:vMerge w:val="continue"/>
            <w:tcBorders>
              <w:top w:val="single" w:color="000000" w:sz="8" w:space="0"/>
              <w:left w:val="single" w:color="000000" w:sz="4" w:space="0"/>
              <w:bottom w:val="single" w:color="000000" w:sz="4" w:space="0"/>
              <w:right w:val="nil"/>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926" w:type="dxa"/>
            <w:vMerge w:val="continue"/>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926" w:type="dxa"/>
            <w:vMerge w:val="restart"/>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小计</w:t>
            </w:r>
          </w:p>
        </w:tc>
        <w:tc>
          <w:tcPr>
            <w:tcW w:w="1927" w:type="dxa"/>
            <w:vMerge w:val="restart"/>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基本支出</w:t>
            </w:r>
          </w:p>
        </w:tc>
        <w:tc>
          <w:tcPr>
            <w:tcW w:w="1926" w:type="dxa"/>
            <w:vMerge w:val="restart"/>
            <w:tcBorders>
              <w:top w:val="nil"/>
              <w:left w:val="single" w:color="000000" w:sz="4" w:space="0"/>
              <w:bottom w:val="single" w:color="000000" w:sz="4" w:space="0"/>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项目支出</w:t>
            </w:r>
          </w:p>
        </w:tc>
        <w:tc>
          <w:tcPr>
            <w:tcW w:w="1933" w:type="dxa"/>
            <w:vMerge w:val="continue"/>
            <w:tcBorders>
              <w:top w:val="single" w:color="000000" w:sz="8" w:space="0"/>
              <w:left w:val="single" w:color="000000" w:sz="4" w:space="0"/>
              <w:bottom w:val="single" w:color="000000" w:sz="4" w:space="0"/>
              <w:right w:val="single" w:color="000000" w:sz="8"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1148" w:type="dxa"/>
            <w:gridSpan w:val="2"/>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27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926" w:type="dxa"/>
            <w:vMerge w:val="continue"/>
            <w:tcBorders>
              <w:top w:val="single" w:color="000000" w:sz="8" w:space="0"/>
              <w:left w:val="single" w:color="000000" w:sz="4" w:space="0"/>
              <w:bottom w:val="single" w:color="000000" w:sz="4" w:space="0"/>
              <w:right w:val="nil"/>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926" w:type="dxa"/>
            <w:vMerge w:val="continue"/>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926" w:type="dxa"/>
            <w:vMerge w:val="continue"/>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927" w:type="dxa"/>
            <w:vMerge w:val="continue"/>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926" w:type="dxa"/>
            <w:vMerge w:val="continue"/>
            <w:tcBorders>
              <w:top w:val="nil"/>
              <w:left w:val="single" w:color="000000" w:sz="4" w:space="0"/>
              <w:bottom w:val="single" w:color="000000" w:sz="4" w:space="0"/>
              <w:right w:val="nil"/>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933" w:type="dxa"/>
            <w:vMerge w:val="continue"/>
            <w:tcBorders>
              <w:top w:val="single" w:color="000000" w:sz="8" w:space="0"/>
              <w:left w:val="single" w:color="000000" w:sz="4" w:space="0"/>
              <w:bottom w:val="single" w:color="000000" w:sz="4" w:space="0"/>
              <w:right w:val="single" w:color="000000" w:sz="8"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148" w:type="dxa"/>
            <w:gridSpan w:val="2"/>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27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926" w:type="dxa"/>
            <w:vMerge w:val="continue"/>
            <w:tcBorders>
              <w:top w:val="single" w:color="000000" w:sz="8" w:space="0"/>
              <w:left w:val="single" w:color="000000" w:sz="4" w:space="0"/>
              <w:bottom w:val="single" w:color="000000" w:sz="4" w:space="0"/>
              <w:right w:val="nil"/>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926" w:type="dxa"/>
            <w:vMerge w:val="continue"/>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926" w:type="dxa"/>
            <w:vMerge w:val="continue"/>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927" w:type="dxa"/>
            <w:vMerge w:val="continue"/>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926" w:type="dxa"/>
            <w:vMerge w:val="continue"/>
            <w:tcBorders>
              <w:top w:val="nil"/>
              <w:left w:val="single" w:color="000000" w:sz="4" w:space="0"/>
              <w:bottom w:val="single" w:color="000000" w:sz="4" w:space="0"/>
              <w:right w:val="nil"/>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933" w:type="dxa"/>
            <w:vMerge w:val="continue"/>
            <w:tcBorders>
              <w:top w:val="single" w:color="000000" w:sz="8" w:space="0"/>
              <w:left w:val="single" w:color="000000" w:sz="4" w:space="0"/>
              <w:bottom w:val="single" w:color="000000" w:sz="4" w:space="0"/>
              <w:right w:val="single" w:color="000000" w:sz="8"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2424" w:type="dxa"/>
            <w:gridSpan w:val="3"/>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栏次</w:t>
            </w:r>
          </w:p>
        </w:tc>
        <w:tc>
          <w:tcPr>
            <w:tcW w:w="19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19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w:t>
            </w:r>
          </w:p>
        </w:tc>
        <w:tc>
          <w:tcPr>
            <w:tcW w:w="19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w:t>
            </w:r>
          </w:p>
        </w:tc>
        <w:tc>
          <w:tcPr>
            <w:tcW w:w="19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4</w:t>
            </w:r>
          </w:p>
        </w:tc>
        <w:tc>
          <w:tcPr>
            <w:tcW w:w="1926"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5</w:t>
            </w:r>
          </w:p>
        </w:tc>
        <w:tc>
          <w:tcPr>
            <w:tcW w:w="1933"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2424" w:type="dxa"/>
            <w:gridSpan w:val="3"/>
            <w:tcBorders>
              <w:top w:val="nil"/>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合计</w:t>
            </w:r>
          </w:p>
        </w:tc>
        <w:tc>
          <w:tcPr>
            <w:tcW w:w="19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9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9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9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926"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933"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148" w:type="dxa"/>
            <w:gridSpan w:val="2"/>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2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6"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33"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148" w:type="dxa"/>
            <w:gridSpan w:val="2"/>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2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6"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33"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148" w:type="dxa"/>
            <w:gridSpan w:val="2"/>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2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6"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33"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148" w:type="dxa"/>
            <w:gridSpan w:val="2"/>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2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6"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33"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148" w:type="dxa"/>
            <w:gridSpan w:val="2"/>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2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6"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33"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148" w:type="dxa"/>
            <w:gridSpan w:val="2"/>
            <w:tcBorders>
              <w:top w:val="single" w:color="000000" w:sz="4" w:space="0"/>
              <w:left w:val="single" w:color="000000" w:sz="8" w:space="0"/>
              <w:bottom w:val="single" w:color="000000" w:sz="8"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276"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6"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6"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6"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7"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6" w:type="dxa"/>
            <w:tcBorders>
              <w:top w:val="single" w:color="000000" w:sz="4" w:space="0"/>
              <w:left w:val="single" w:color="000000" w:sz="4" w:space="0"/>
              <w:bottom w:val="single" w:color="000000" w:sz="8" w:space="0"/>
              <w:right w:val="nil"/>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33" w:type="dxa"/>
            <w:tcBorders>
              <w:top w:val="single" w:color="000000" w:sz="4" w:space="0"/>
              <w:left w:val="single" w:color="000000" w:sz="4" w:space="0"/>
              <w:bottom w:val="single" w:color="000000" w:sz="8"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5" w:hRule="atLeast"/>
        </w:trPr>
        <w:tc>
          <w:tcPr>
            <w:tcW w:w="13988" w:type="dxa"/>
            <w:gridSpan w:val="9"/>
            <w:tcBorders>
              <w:top w:val="single" w:color="000000" w:sz="8" w:space="0"/>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注：本表反映部门本年度政府性基金预算财政拨款收入、支出及结转和结余情况。</w:t>
            </w:r>
          </w:p>
        </w:tc>
      </w:tr>
    </w:tbl>
    <w:p>
      <w:pPr>
        <w:jc w:val="center"/>
        <w:outlineLvl w:val="9"/>
        <w:rPr>
          <w:rFonts w:hint="eastAsia" w:ascii="仿宋_GB2312" w:hAnsi="仿宋_GB2312" w:eastAsia="仿宋_GB2312" w:cs="仿宋_GB2312"/>
          <w:color w:val="auto"/>
          <w:sz w:val="32"/>
          <w:szCs w:val="32"/>
          <w:highlight w:val="none"/>
          <w:lang w:val="en-US" w:eastAsia="zh-CN"/>
        </w:rPr>
        <w:sectPr>
          <w:pgSz w:w="16838" w:h="11906" w:orient="landscape"/>
          <w:pgMar w:top="1800" w:right="1440" w:bottom="1800" w:left="1440" w:header="720" w:footer="720" w:gutter="0"/>
          <w:pgNumType w:fmt="numberInDash"/>
          <w:cols w:space="720" w:num="1"/>
          <w:docGrid w:type="lines" w:linePitch="312" w:charSpace="0"/>
        </w:sectPr>
      </w:pPr>
      <w:r>
        <w:rPr>
          <w:rFonts w:hint="eastAsia" w:ascii="仿宋_GB2312" w:hAnsi="仿宋_GB2312" w:eastAsia="仿宋_GB2312" w:cs="仿宋_GB2312"/>
          <w:color w:val="auto"/>
          <w:sz w:val="32"/>
          <w:szCs w:val="32"/>
          <w:highlight w:val="none"/>
          <w:lang w:val="en-US" w:eastAsia="zh-CN"/>
        </w:rPr>
        <w:t>说明：我部门没有政府性基金收入，也没有使用政府性基金安排的支出，故本表无数据。</w:t>
      </w: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jc w:val="center"/>
        <w:outlineLvl w:val="0"/>
        <w:rPr>
          <w:rFonts w:hint="eastAsia" w:ascii="黑体" w:hAnsi="黑体" w:eastAsia="黑体" w:cs="黑体"/>
          <w:color w:val="auto"/>
          <w:sz w:val="48"/>
          <w:szCs w:val="48"/>
          <w:highlight w:val="none"/>
        </w:rPr>
      </w:pPr>
      <w:r>
        <w:rPr>
          <w:rFonts w:hint="eastAsia" w:ascii="黑体" w:hAnsi="黑体" w:eastAsia="黑体" w:cs="黑体"/>
          <w:color w:val="auto"/>
          <w:sz w:val="48"/>
          <w:szCs w:val="48"/>
          <w:highlight w:val="none"/>
        </w:rPr>
        <w:t>第</w:t>
      </w:r>
      <w:r>
        <w:rPr>
          <w:rFonts w:hint="eastAsia" w:ascii="黑体" w:hAnsi="黑体" w:eastAsia="黑体" w:cs="黑体"/>
          <w:color w:val="auto"/>
          <w:sz w:val="48"/>
          <w:szCs w:val="48"/>
          <w:highlight w:val="none"/>
          <w:lang w:eastAsia="zh-CN"/>
        </w:rPr>
        <w:t>三</w:t>
      </w:r>
      <w:r>
        <w:rPr>
          <w:rFonts w:hint="eastAsia" w:ascii="黑体" w:hAnsi="黑体" w:eastAsia="黑体" w:cs="黑体"/>
          <w:color w:val="auto"/>
          <w:sz w:val="48"/>
          <w:szCs w:val="48"/>
          <w:highlight w:val="none"/>
        </w:rPr>
        <w:t>部分</w:t>
      </w:r>
      <w:r>
        <w:rPr>
          <w:rFonts w:hint="eastAsia" w:ascii="黑体" w:hAnsi="黑体" w:eastAsia="黑体" w:cs="黑体"/>
          <w:color w:val="auto"/>
          <w:sz w:val="48"/>
          <w:szCs w:val="48"/>
          <w:highlight w:val="none"/>
          <w:lang w:val="en-US" w:eastAsia="zh-CN"/>
        </w:rPr>
        <w:t xml:space="preserve">  </w:t>
      </w:r>
      <w:r>
        <w:rPr>
          <w:rFonts w:hint="eastAsia" w:ascii="黑体" w:hAnsi="黑体" w:eastAsia="黑体" w:cs="黑体"/>
          <w:color w:val="auto"/>
          <w:sz w:val="48"/>
          <w:szCs w:val="48"/>
          <w:highlight w:val="none"/>
          <w:lang w:eastAsia="zh-CN"/>
        </w:rPr>
        <w:t>20</w:t>
      </w:r>
      <w:r>
        <w:rPr>
          <w:rFonts w:hint="eastAsia" w:ascii="黑体" w:hAnsi="黑体" w:eastAsia="黑体" w:cs="黑体"/>
          <w:color w:val="auto"/>
          <w:sz w:val="48"/>
          <w:szCs w:val="48"/>
          <w:highlight w:val="none"/>
          <w:lang w:val="en-US" w:eastAsia="zh-CN"/>
        </w:rPr>
        <w:t>21</w:t>
      </w:r>
      <w:r>
        <w:rPr>
          <w:rFonts w:hint="eastAsia" w:ascii="黑体" w:hAnsi="黑体" w:eastAsia="黑体" w:cs="黑体"/>
          <w:color w:val="auto"/>
          <w:sz w:val="48"/>
          <w:szCs w:val="48"/>
          <w:highlight w:val="none"/>
          <w:lang w:eastAsia="zh-CN"/>
        </w:rPr>
        <w:t>年度</w:t>
      </w:r>
      <w:r>
        <w:rPr>
          <w:rFonts w:hint="eastAsia" w:ascii="黑体" w:hAnsi="黑体" w:eastAsia="黑体" w:cs="黑体"/>
          <w:color w:val="auto"/>
          <w:sz w:val="48"/>
          <w:szCs w:val="48"/>
          <w:highlight w:val="none"/>
        </w:rPr>
        <w:t>部门决算情况说明</w:t>
      </w:r>
    </w:p>
    <w:p>
      <w:pPr>
        <w:widowControl/>
        <w:jc w:val="left"/>
        <w:rPr>
          <w:rFonts w:hint="eastAsia" w:ascii="黑体" w:hAnsi="黑体" w:eastAsia="黑体" w:cs="黑体"/>
          <w:color w:val="auto"/>
          <w:sz w:val="48"/>
          <w:szCs w:val="48"/>
          <w:highlight w:val="none"/>
        </w:rPr>
        <w:sectPr>
          <w:pgSz w:w="11906" w:h="16838"/>
          <w:pgMar w:top="1440" w:right="1800" w:bottom="1440" w:left="1800" w:header="720" w:footer="720" w:gutter="0"/>
          <w:pgNumType w:fmt="numberInDash"/>
          <w:cols w:space="720" w:num="1"/>
          <w:docGrid w:type="lines" w:linePitch="312" w:charSpace="0"/>
        </w:sectPr>
      </w:pP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一、收入支出决算总体情况说明</w:t>
      </w:r>
    </w:p>
    <w:p>
      <w:pPr>
        <w:spacing w:beforeLines="0" w:afterLines="0"/>
        <w:ind w:firstLine="640" w:firstLineChars="200"/>
        <w:jc w:val="left"/>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cs="仿宋_GB2312"/>
          <w:color w:val="auto"/>
          <w:sz w:val="32"/>
          <w:szCs w:val="32"/>
          <w:highlight w:val="none"/>
          <w:lang w:val="en-US" w:eastAsia="zh-CN"/>
        </w:rPr>
        <w:t>2021年度收、支总计均为214.30万元。与上年度相比，</w:t>
      </w:r>
      <w:r>
        <w:rPr>
          <w:rFonts w:hint="eastAsia" w:ascii="仿宋_GB2312" w:hAnsi="仿宋_GB2312" w:eastAsia="仿宋_GB2312" w:cs="仿宋_GB2312"/>
          <w:color w:val="auto"/>
          <w:sz w:val="32"/>
          <w:szCs w:val="32"/>
          <w:highlight w:val="none"/>
          <w:lang w:val="zh-CN" w:eastAsia="zh-CN"/>
        </w:rPr>
        <w:t>收、支总计各</w:t>
      </w:r>
      <w:r>
        <w:rPr>
          <w:rFonts w:hint="eastAsia" w:ascii="仿宋_GB2312" w:hAnsi="仿宋_GB2312" w:eastAsia="仿宋_GB2312" w:cs="仿宋_GB2312"/>
          <w:color w:val="auto"/>
          <w:sz w:val="32"/>
          <w:szCs w:val="32"/>
          <w:highlight w:val="none"/>
          <w:lang w:val="en-US" w:eastAsia="zh-CN"/>
        </w:rPr>
        <w:t>增加3.15</w:t>
      </w:r>
      <w:r>
        <w:rPr>
          <w:rFonts w:hint="eastAsia" w:ascii="仿宋_GB2312" w:hAnsi="仿宋_GB2312" w:eastAsia="仿宋_GB2312" w:cs="仿宋_GB2312"/>
          <w:color w:val="auto"/>
          <w:sz w:val="32"/>
          <w:szCs w:val="32"/>
          <w:highlight w:val="none"/>
          <w:lang w:val="zh-CN" w:eastAsia="zh-CN"/>
        </w:rPr>
        <w:t>万元，</w:t>
      </w:r>
      <w:r>
        <w:rPr>
          <w:rFonts w:hint="eastAsia" w:ascii="仿宋_GB2312" w:hAnsi="仿宋_GB2312" w:eastAsia="仿宋_GB2312" w:cs="仿宋_GB2312"/>
          <w:color w:val="auto"/>
          <w:sz w:val="32"/>
          <w:szCs w:val="32"/>
          <w:highlight w:val="none"/>
          <w:lang w:val="en-US" w:eastAsia="zh-CN"/>
        </w:rPr>
        <w:t>增长</w:t>
      </w:r>
      <w:r>
        <w:rPr>
          <w:rFonts w:hint="eastAsia" w:ascii="仿宋_GB2312" w:hAnsi="仿宋_GB2312" w:eastAsia="仿宋_GB2312" w:cs="仿宋_GB2312"/>
          <w:color w:val="auto"/>
          <w:sz w:val="32"/>
          <w:szCs w:val="32"/>
          <w:highlight w:val="none"/>
          <w:lang w:val="zh-CN" w:eastAsia="zh-CN"/>
        </w:rPr>
        <w:t>1</w:t>
      </w:r>
      <w:r>
        <w:rPr>
          <w:rFonts w:hint="eastAsia" w:ascii="仿宋_GB2312" w:hAnsi="仿宋_GB2312" w:eastAsia="仿宋_GB2312" w:cs="仿宋_GB2312"/>
          <w:color w:val="auto"/>
          <w:sz w:val="32"/>
          <w:szCs w:val="32"/>
          <w:highlight w:val="none"/>
          <w:lang w:val="en-US" w:eastAsia="zh-CN"/>
        </w:rPr>
        <w:t>.49</w:t>
      </w:r>
      <w:r>
        <w:rPr>
          <w:rFonts w:hint="eastAsia" w:ascii="仿宋_GB2312" w:hAnsi="仿宋_GB2312" w:eastAsia="仿宋_GB2312" w:cs="仿宋_GB2312"/>
          <w:color w:val="auto"/>
          <w:sz w:val="32"/>
          <w:szCs w:val="32"/>
          <w:highlight w:val="none"/>
          <w:lang w:val="zh-CN" w:eastAsia="zh-CN"/>
        </w:rPr>
        <w:t>%。主要原因是</w:t>
      </w:r>
      <w:r>
        <w:rPr>
          <w:rFonts w:hint="eastAsia" w:ascii="仿宋_GB2312" w:hAnsi="仿宋_GB2312" w:eastAsia="仿宋_GB2312" w:cs="仿宋_GB2312"/>
          <w:color w:val="auto"/>
          <w:sz w:val="32"/>
          <w:szCs w:val="32"/>
          <w:highlight w:val="none"/>
          <w:lang w:val="en-US" w:eastAsia="zh-CN"/>
        </w:rPr>
        <w:t>2021年人员经费增加</w:t>
      </w:r>
      <w:r>
        <w:rPr>
          <w:rFonts w:hint="eastAsia" w:ascii="仿宋_GB2312" w:hAnsi="仿宋_GB2312" w:eastAsia="仿宋_GB2312" w:cs="仿宋_GB2312"/>
          <w:color w:val="auto"/>
          <w:sz w:val="32"/>
          <w:szCs w:val="32"/>
          <w:highlight w:val="none"/>
          <w:lang w:val="zh-CN" w:eastAsia="zh-CN"/>
        </w:rPr>
        <w:t>。</w:t>
      </w:r>
    </w:p>
    <w:p>
      <w:pPr>
        <w:keepNext w:val="0"/>
        <w:keepLines w:val="0"/>
        <w:pageBreakBefore w:val="0"/>
        <w:widowControl/>
        <w:kinsoku/>
        <w:wordWrap/>
        <w:overflowPunct/>
        <w:topLinePunct w:val="0"/>
        <w:autoSpaceDE/>
        <w:autoSpaceDN/>
        <w:bidi w:val="0"/>
        <w:adjustRightInd/>
        <w:snapToGrid/>
        <w:spacing w:line="590" w:lineRule="exact"/>
        <w:ind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二、收入决算情况说明</w:t>
      </w:r>
    </w:p>
    <w:p>
      <w:pPr>
        <w:spacing w:beforeLines="0" w:afterLines="0" w:line="590" w:lineRule="exact"/>
        <w:ind w:firstLine="640"/>
        <w:rPr>
          <w:rFonts w:hint="default" w:ascii="Times New Roman" w:hAnsi="Times New Roman" w:eastAsia="Times New Roman"/>
          <w:kern w:val="0"/>
          <w:sz w:val="18"/>
          <w:szCs w:val="24"/>
          <w:highlight w:val="none"/>
          <w:lang w:val="zh-CN"/>
        </w:rPr>
      </w:pPr>
      <w:r>
        <w:rPr>
          <w:rFonts w:hint="eastAsia" w:ascii="仿宋_GB2312" w:hAnsi="仿宋_GB2312" w:eastAsia="仿宋_GB2312"/>
          <w:sz w:val="32"/>
          <w:szCs w:val="24"/>
          <w:highlight w:val="none"/>
          <w:lang w:val="en-US"/>
        </w:rPr>
        <w:t>2021年度收入合计213.39万元，其中：财政拨款收入213.39万元，占100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%；上级补助收入0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万元，占0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%；事业收入0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万元，占0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%；经营收入0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万元，占0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%；附属单位上缴收入0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万元，占0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%；其他收入0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万元，占0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三、支出决算情况说明</w:t>
      </w:r>
    </w:p>
    <w:p>
      <w:pPr>
        <w:spacing w:beforeLines="0" w:afterLines="0" w:line="590" w:lineRule="exact"/>
        <w:ind w:firstLine="640"/>
        <w:rPr>
          <w:rFonts w:hint="default" w:ascii="Times New Roman" w:hAnsi="Times New Roman" w:eastAsia="Times New Roman"/>
          <w:kern w:val="0"/>
          <w:sz w:val="18"/>
          <w:szCs w:val="24"/>
          <w:highlight w:val="none"/>
          <w:lang w:val="zh-CN"/>
        </w:rPr>
      </w:pPr>
      <w:r>
        <w:rPr>
          <w:rFonts w:hint="eastAsia" w:ascii="仿宋_GB2312" w:hAnsi="仿宋_GB2312" w:eastAsia="仿宋_GB2312"/>
          <w:sz w:val="32"/>
          <w:szCs w:val="24"/>
          <w:highlight w:val="none"/>
          <w:lang w:val="en-US"/>
        </w:rPr>
        <w:t>2021年度支出合计214.3</w:t>
      </w:r>
      <w:r>
        <w:rPr>
          <w:rFonts w:hint="eastAsia" w:ascii="仿宋_GB2312" w:hAnsi="仿宋_GB2312" w:eastAsia="仿宋_GB2312"/>
          <w:sz w:val="32"/>
          <w:szCs w:val="24"/>
          <w:highlight w:val="none"/>
          <w:lang w:val="en-US" w:eastAsia="zh-CN"/>
        </w:rPr>
        <w:t>0</w:t>
      </w:r>
      <w:r>
        <w:rPr>
          <w:rFonts w:hint="eastAsia" w:ascii="仿宋_GB2312" w:hAnsi="仿宋_GB2312" w:eastAsia="仿宋_GB2312"/>
          <w:sz w:val="32"/>
          <w:szCs w:val="24"/>
          <w:highlight w:val="none"/>
          <w:lang w:val="en-US"/>
        </w:rPr>
        <w:t>万元，其中：基本支出214.3</w:t>
      </w:r>
      <w:r>
        <w:rPr>
          <w:rFonts w:hint="eastAsia" w:ascii="仿宋_GB2312" w:hAnsi="仿宋_GB2312" w:eastAsia="仿宋_GB2312"/>
          <w:sz w:val="32"/>
          <w:szCs w:val="24"/>
          <w:highlight w:val="none"/>
          <w:lang w:val="en-US" w:eastAsia="zh-CN"/>
        </w:rPr>
        <w:t>0</w:t>
      </w:r>
      <w:r>
        <w:rPr>
          <w:rFonts w:hint="eastAsia" w:ascii="仿宋_GB2312" w:hAnsi="仿宋_GB2312" w:eastAsia="仿宋_GB2312"/>
          <w:sz w:val="32"/>
          <w:szCs w:val="24"/>
          <w:highlight w:val="none"/>
          <w:lang w:val="en-US"/>
        </w:rPr>
        <w:t>万元，占100%；项目支出0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万元，占0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%；上缴上级支出0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万元，占</w:t>
      </w:r>
      <w:r>
        <w:rPr>
          <w:rFonts w:hint="eastAsia" w:ascii="仿宋_GB2312" w:hAnsi="仿宋_GB2312" w:eastAsia="仿宋_GB2312"/>
          <w:sz w:val="32"/>
          <w:szCs w:val="24"/>
          <w:highlight w:val="none"/>
          <w:lang w:val="en-US" w:eastAsia="zh-CN"/>
        </w:rPr>
        <w:t>0.00</w:t>
      </w:r>
      <w:r>
        <w:rPr>
          <w:rFonts w:hint="eastAsia" w:ascii="仿宋_GB2312" w:hAnsi="仿宋_GB2312" w:eastAsia="仿宋_GB2312"/>
          <w:sz w:val="32"/>
          <w:szCs w:val="24"/>
          <w:highlight w:val="none"/>
          <w:lang w:val="en-US"/>
        </w:rPr>
        <w:t>%；经营支出0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万元，占</w:t>
      </w:r>
      <w:r>
        <w:rPr>
          <w:rFonts w:hint="eastAsia" w:ascii="仿宋_GB2312" w:hAnsi="仿宋_GB2312" w:eastAsia="仿宋_GB2312"/>
          <w:sz w:val="32"/>
          <w:szCs w:val="24"/>
          <w:highlight w:val="none"/>
          <w:lang w:val="en-US" w:eastAsia="zh-CN"/>
        </w:rPr>
        <w:t>0.00</w:t>
      </w:r>
      <w:r>
        <w:rPr>
          <w:rFonts w:hint="eastAsia" w:ascii="仿宋_GB2312" w:hAnsi="仿宋_GB2312" w:eastAsia="仿宋_GB2312"/>
          <w:sz w:val="32"/>
          <w:szCs w:val="24"/>
          <w:highlight w:val="none"/>
          <w:lang w:val="en-US"/>
        </w:rPr>
        <w:t>%；对附属单位补助支出0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万元，占0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四、财政拨款收入支出决算总体情况说明</w:t>
      </w:r>
    </w:p>
    <w:p>
      <w:pPr>
        <w:spacing w:beforeLines="0" w:afterLines="0"/>
        <w:ind w:firstLine="640" w:firstLineChars="200"/>
        <w:jc w:val="left"/>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cs="仿宋_GB2312"/>
          <w:color w:val="auto"/>
          <w:sz w:val="32"/>
          <w:szCs w:val="32"/>
          <w:highlight w:val="none"/>
          <w:lang w:val="zh-CN" w:eastAsia="zh-CN"/>
        </w:rPr>
        <w:t>202</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val="zh-CN" w:eastAsia="zh-CN"/>
        </w:rPr>
        <w:t>年度财政拨款收、支总计均为21</w:t>
      </w:r>
      <w:r>
        <w:rPr>
          <w:rFonts w:hint="eastAsia" w:ascii="仿宋_GB2312" w:hAnsi="仿宋_GB2312" w:eastAsia="仿宋_GB2312" w:cs="仿宋_GB2312"/>
          <w:color w:val="auto"/>
          <w:sz w:val="32"/>
          <w:szCs w:val="32"/>
          <w:highlight w:val="none"/>
          <w:lang w:val="en-US" w:eastAsia="zh-CN"/>
        </w:rPr>
        <w:t>4.30</w:t>
      </w:r>
      <w:r>
        <w:rPr>
          <w:rFonts w:hint="eastAsia" w:ascii="仿宋_GB2312" w:hAnsi="仿宋_GB2312" w:eastAsia="仿宋_GB2312" w:cs="仿宋_GB2312"/>
          <w:color w:val="auto"/>
          <w:sz w:val="32"/>
          <w:szCs w:val="32"/>
          <w:highlight w:val="none"/>
          <w:lang w:val="zh-CN" w:eastAsia="zh-CN"/>
        </w:rPr>
        <w:t>万元。与上年度相比，财政拨款收、支总计各</w:t>
      </w:r>
      <w:r>
        <w:rPr>
          <w:rFonts w:hint="eastAsia" w:ascii="仿宋_GB2312" w:hAnsi="仿宋_GB2312" w:eastAsia="仿宋_GB2312" w:cs="仿宋_GB2312"/>
          <w:color w:val="auto"/>
          <w:sz w:val="32"/>
          <w:szCs w:val="32"/>
          <w:highlight w:val="none"/>
          <w:lang w:val="en-US" w:eastAsia="zh-CN"/>
        </w:rPr>
        <w:t>增加3.15</w:t>
      </w:r>
      <w:r>
        <w:rPr>
          <w:rFonts w:hint="eastAsia" w:ascii="仿宋_GB2312" w:hAnsi="仿宋_GB2312" w:eastAsia="仿宋_GB2312" w:cs="仿宋_GB2312"/>
          <w:color w:val="auto"/>
          <w:sz w:val="32"/>
          <w:szCs w:val="32"/>
          <w:highlight w:val="none"/>
          <w:lang w:val="zh-CN" w:eastAsia="zh-CN"/>
        </w:rPr>
        <w:t>万元，</w:t>
      </w:r>
      <w:r>
        <w:rPr>
          <w:rFonts w:hint="eastAsia" w:ascii="仿宋_GB2312" w:hAnsi="仿宋_GB2312" w:eastAsia="仿宋_GB2312" w:cs="仿宋_GB2312"/>
          <w:color w:val="auto"/>
          <w:sz w:val="32"/>
          <w:szCs w:val="32"/>
          <w:highlight w:val="none"/>
          <w:lang w:val="en-US" w:eastAsia="zh-CN"/>
        </w:rPr>
        <w:t>增长1.49</w:t>
      </w:r>
      <w:r>
        <w:rPr>
          <w:rFonts w:hint="eastAsia" w:ascii="仿宋_GB2312" w:hAnsi="仿宋_GB2312" w:eastAsia="仿宋_GB2312" w:cs="仿宋_GB2312"/>
          <w:color w:val="auto"/>
          <w:sz w:val="32"/>
          <w:szCs w:val="32"/>
          <w:highlight w:val="none"/>
          <w:lang w:val="zh-CN" w:eastAsia="zh-CN"/>
        </w:rPr>
        <w:t>%。主要原因是</w:t>
      </w:r>
      <w:r>
        <w:rPr>
          <w:rFonts w:hint="eastAsia" w:ascii="仿宋_GB2312" w:hAnsi="仿宋_GB2312" w:eastAsia="仿宋_GB2312" w:cs="仿宋_GB2312"/>
          <w:color w:val="auto"/>
          <w:sz w:val="32"/>
          <w:szCs w:val="32"/>
          <w:highlight w:val="none"/>
          <w:lang w:val="en-US" w:eastAsia="zh-CN"/>
        </w:rPr>
        <w:t>2021年人员经费的增加</w:t>
      </w:r>
      <w:r>
        <w:rPr>
          <w:rFonts w:hint="eastAsia" w:ascii="仿宋_GB2312" w:hAnsi="仿宋_GB2312" w:eastAsia="仿宋_GB2312" w:cs="仿宋_GB2312"/>
          <w:color w:val="auto"/>
          <w:sz w:val="32"/>
          <w:szCs w:val="32"/>
          <w:highlight w:val="none"/>
          <w:lang w:val="zh-CN" w:eastAsia="zh-CN"/>
        </w:rPr>
        <w:t>。</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五、一般公共预算财政拨款支出决算情况说明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（一）总体情况。</w:t>
      </w:r>
    </w:p>
    <w:p>
      <w:pPr>
        <w:spacing w:beforeLines="0" w:afterLines="0"/>
        <w:ind w:firstLine="640" w:firstLineChars="200"/>
        <w:jc w:val="left"/>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cs="仿宋_GB2312"/>
          <w:color w:val="auto"/>
          <w:sz w:val="32"/>
          <w:szCs w:val="32"/>
          <w:highlight w:val="none"/>
          <w:lang w:val="zh-CN" w:eastAsia="zh-CN"/>
        </w:rPr>
        <w:t>202</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val="zh-CN" w:eastAsia="zh-CN"/>
        </w:rPr>
        <w:t>年度一般公共预算财政拨款支出</w:t>
      </w:r>
      <w:r>
        <w:rPr>
          <w:rFonts w:hint="eastAsia" w:ascii="仿宋_GB2312" w:hAnsi="仿宋_GB2312" w:eastAsia="仿宋_GB2312" w:cs="仿宋_GB2312"/>
          <w:color w:val="auto"/>
          <w:sz w:val="32"/>
          <w:szCs w:val="32"/>
          <w:highlight w:val="none"/>
          <w:lang w:val="en-US" w:eastAsia="zh-CN"/>
        </w:rPr>
        <w:t>214.30</w:t>
      </w:r>
      <w:r>
        <w:rPr>
          <w:rFonts w:hint="eastAsia" w:ascii="仿宋_GB2312" w:hAnsi="仿宋_GB2312" w:eastAsia="仿宋_GB2312" w:cs="仿宋_GB2312"/>
          <w:color w:val="auto"/>
          <w:sz w:val="32"/>
          <w:szCs w:val="32"/>
          <w:highlight w:val="none"/>
          <w:lang w:val="zh-CN" w:eastAsia="zh-CN"/>
        </w:rPr>
        <w:t>万元，占支出合计的100</w:t>
      </w:r>
      <w:r>
        <w:rPr>
          <w:rFonts w:hint="eastAsia" w:ascii="仿宋_GB2312" w:hAnsi="仿宋_GB2312" w:eastAsia="仿宋_GB2312" w:cs="仿宋_GB2312"/>
          <w:color w:val="auto"/>
          <w:sz w:val="32"/>
          <w:szCs w:val="32"/>
          <w:highlight w:val="none"/>
          <w:lang w:val="en-US" w:eastAsia="zh-CN"/>
        </w:rPr>
        <w:t>.00</w:t>
      </w:r>
      <w:r>
        <w:rPr>
          <w:rFonts w:hint="eastAsia" w:ascii="仿宋_GB2312" w:hAnsi="仿宋_GB2312" w:eastAsia="仿宋_GB2312" w:cs="仿宋_GB2312"/>
          <w:color w:val="auto"/>
          <w:sz w:val="32"/>
          <w:szCs w:val="32"/>
          <w:highlight w:val="none"/>
          <w:lang w:val="zh-CN" w:eastAsia="zh-CN"/>
        </w:rPr>
        <w:t>%。与上年度相比，一般公共预算财政拨款支出</w:t>
      </w:r>
      <w:r>
        <w:rPr>
          <w:rFonts w:hint="eastAsia" w:ascii="仿宋_GB2312" w:hAnsi="仿宋_GB2312" w:eastAsia="仿宋_GB2312" w:cs="仿宋_GB2312"/>
          <w:color w:val="auto"/>
          <w:sz w:val="32"/>
          <w:szCs w:val="32"/>
          <w:highlight w:val="none"/>
          <w:lang w:val="en-US" w:eastAsia="zh-CN"/>
        </w:rPr>
        <w:t>增加4.08</w:t>
      </w:r>
      <w:r>
        <w:rPr>
          <w:rFonts w:hint="eastAsia" w:ascii="仿宋_GB2312" w:hAnsi="仿宋_GB2312" w:eastAsia="仿宋_GB2312" w:cs="仿宋_GB2312"/>
          <w:color w:val="auto"/>
          <w:sz w:val="32"/>
          <w:szCs w:val="32"/>
          <w:highlight w:val="none"/>
          <w:lang w:val="zh-CN" w:eastAsia="zh-CN"/>
        </w:rPr>
        <w:t>万元，</w:t>
      </w:r>
      <w:r>
        <w:rPr>
          <w:rFonts w:hint="eastAsia" w:ascii="仿宋_GB2312" w:hAnsi="仿宋_GB2312" w:eastAsia="仿宋_GB2312" w:cs="仿宋_GB2312"/>
          <w:color w:val="auto"/>
          <w:sz w:val="32"/>
          <w:szCs w:val="32"/>
          <w:highlight w:val="none"/>
          <w:lang w:val="en-US" w:eastAsia="zh-CN"/>
        </w:rPr>
        <w:t>增加1.94</w:t>
      </w:r>
      <w:r>
        <w:rPr>
          <w:rFonts w:hint="eastAsia" w:ascii="仿宋_GB2312" w:hAnsi="仿宋_GB2312" w:eastAsia="仿宋_GB2312" w:cs="仿宋_GB2312"/>
          <w:color w:val="auto"/>
          <w:sz w:val="32"/>
          <w:szCs w:val="32"/>
          <w:highlight w:val="none"/>
          <w:lang w:val="zh-CN" w:eastAsia="zh-CN"/>
        </w:rPr>
        <w:t>%。主要原因是</w:t>
      </w:r>
      <w:r>
        <w:rPr>
          <w:rFonts w:hint="eastAsia" w:ascii="仿宋_GB2312" w:hAnsi="仿宋_GB2312" w:eastAsia="仿宋_GB2312" w:cs="仿宋_GB2312"/>
          <w:color w:val="auto"/>
          <w:sz w:val="32"/>
          <w:szCs w:val="32"/>
          <w:highlight w:val="none"/>
          <w:lang w:val="en-US" w:eastAsia="zh-CN"/>
        </w:rPr>
        <w:t>2021年人员经费的增加</w:t>
      </w:r>
      <w:r>
        <w:rPr>
          <w:rFonts w:hint="eastAsia" w:ascii="仿宋_GB2312" w:hAnsi="仿宋_GB2312" w:eastAsia="仿宋_GB2312" w:cs="仿宋_GB2312"/>
          <w:color w:val="auto"/>
          <w:sz w:val="32"/>
          <w:szCs w:val="32"/>
          <w:highlight w:val="none"/>
          <w:lang w:val="zh-CN" w:eastAsia="zh-CN"/>
        </w:rPr>
        <w:t>。</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（二）结构情况。</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2021年度一般公共预算财政拨款支出214.30万元，主要用于以下方面：城乡社区（类）支出207.76万元，占96.95%；社会保障和就业（类）支出6.54万元，占3.05%。</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（三）具体情况。</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2021年度一般公共预算财政拨款支出年初预算为205.26万元，支出决算为214.30万元，完成年初预算的104.40%。其中：</w:t>
      </w:r>
    </w:p>
    <w:p>
      <w:pPr>
        <w:keepNext w:val="0"/>
        <w:keepLines w:val="0"/>
        <w:pageBreakBefore w:val="0"/>
        <w:widowControl/>
        <w:numPr>
          <w:ilvl w:val="0"/>
          <w:numId w:val="2"/>
        </w:numPr>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城乡社区（类）城乡社区管理事务（款）工程建设标准规范编制与监管（项）。</w:t>
      </w:r>
      <w:r>
        <w:rPr>
          <w:rFonts w:hint="eastAsia" w:ascii="仿宋_GB2312" w:hAnsi="仿宋_GB2312" w:eastAsia="仿宋_GB2312" w:cs="仿宋_GB2312"/>
          <w:color w:val="auto"/>
          <w:sz w:val="32"/>
          <w:szCs w:val="32"/>
          <w:highlight w:val="none"/>
          <w:lang w:val="en-US" w:eastAsia="zh-CN"/>
        </w:rPr>
        <w:t>年初预算为198.61万元，支出决算为207.76万元，完成年初预算的104.50%。决算数与年初预算数存在差异的主要原因是人员经费增加。</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2．社会保障和就业支出（类）行政事业单位养老支出（款）事业单位离退休（项）。</w:t>
      </w:r>
      <w:r>
        <w:rPr>
          <w:rFonts w:hint="eastAsia" w:ascii="仿宋_GB2312" w:hAnsi="仿宋_GB2312" w:eastAsia="仿宋_GB2312" w:cs="仿宋_GB2312"/>
          <w:color w:val="auto"/>
          <w:sz w:val="32"/>
          <w:szCs w:val="32"/>
          <w:highlight w:val="none"/>
          <w:lang w:val="en-US" w:eastAsia="zh-CN"/>
        </w:rPr>
        <w:t>年初预算为6.65万元，支出决算为6.54万元，完成年初预算的98.35%。决算数与年初预算数存在差异的主要原因是人员经费减少。</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六、一般公共预算财政拨款基本支出决算情况说明</w:t>
      </w:r>
    </w:p>
    <w:p>
      <w:pPr>
        <w:spacing w:beforeLines="0" w:afterLines="0" w:line="590" w:lineRule="exact"/>
        <w:ind w:firstLine="640"/>
        <w:rPr>
          <w:rFonts w:hint="default" w:ascii="Times New Roman" w:hAnsi="Times New Roman" w:eastAsia="Times New Roman"/>
          <w:kern w:val="0"/>
          <w:sz w:val="18"/>
          <w:szCs w:val="24"/>
          <w:highlight w:val="none"/>
          <w:lang w:val="zh-CN"/>
        </w:rPr>
      </w:pPr>
      <w:r>
        <w:rPr>
          <w:rFonts w:hint="eastAsia" w:ascii="仿宋_GB2312" w:hAnsi="仿宋_GB2312" w:eastAsia="仿宋_GB2312" w:cs="仿宋_GB2312"/>
          <w:color w:val="auto"/>
          <w:sz w:val="32"/>
          <w:szCs w:val="32"/>
          <w:highlight w:val="none"/>
          <w:lang w:val="zh-CN" w:eastAsia="zh-CN"/>
        </w:rPr>
        <w:t>202</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val="zh-CN" w:eastAsia="zh-CN"/>
        </w:rPr>
        <w:t>年度一般公共预算财政拨款基本支出21</w:t>
      </w:r>
      <w:r>
        <w:rPr>
          <w:rFonts w:hint="eastAsia" w:ascii="仿宋_GB2312" w:hAnsi="仿宋_GB2312" w:eastAsia="仿宋_GB2312" w:cs="仿宋_GB2312"/>
          <w:color w:val="auto"/>
          <w:sz w:val="32"/>
          <w:szCs w:val="32"/>
          <w:highlight w:val="none"/>
          <w:lang w:val="en-US" w:eastAsia="zh-CN"/>
        </w:rPr>
        <w:t>4.30</w:t>
      </w:r>
      <w:r>
        <w:rPr>
          <w:rFonts w:hint="eastAsia" w:ascii="仿宋_GB2312" w:hAnsi="仿宋_GB2312" w:eastAsia="仿宋_GB2312" w:cs="仿宋_GB2312"/>
          <w:color w:val="auto"/>
          <w:sz w:val="32"/>
          <w:szCs w:val="32"/>
          <w:highlight w:val="none"/>
          <w:lang w:val="zh-CN" w:eastAsia="zh-CN"/>
        </w:rPr>
        <w:t>万元。其中：人员经费2</w:t>
      </w:r>
      <w:r>
        <w:rPr>
          <w:rFonts w:hint="eastAsia" w:ascii="仿宋_GB2312" w:hAnsi="仿宋_GB2312" w:eastAsia="仿宋_GB2312" w:cs="仿宋_GB2312"/>
          <w:color w:val="auto"/>
          <w:sz w:val="32"/>
          <w:szCs w:val="32"/>
          <w:highlight w:val="none"/>
          <w:lang w:val="en-US" w:eastAsia="zh-CN"/>
        </w:rPr>
        <w:t>21.29</w:t>
      </w:r>
      <w:r>
        <w:rPr>
          <w:rFonts w:hint="eastAsia" w:ascii="仿宋_GB2312" w:hAnsi="仿宋_GB2312" w:eastAsia="仿宋_GB2312" w:cs="仿宋_GB2312"/>
          <w:color w:val="auto"/>
          <w:sz w:val="32"/>
          <w:szCs w:val="32"/>
          <w:highlight w:val="none"/>
          <w:lang w:val="zh-CN" w:eastAsia="zh-CN"/>
        </w:rPr>
        <w:t>万元，主要包括：基本工资、津贴补贴、奖金、绩效工资、机关事业单位基本养老保险缴费、职工基本医疗保险缴费、其他社会保障缴费、退休费、住房公积金；公用经费2.01万元，主要包括：</w:t>
      </w:r>
      <w:r>
        <w:rPr>
          <w:rFonts w:hint="eastAsia" w:ascii="仿宋_GB2312" w:hAnsi="仿宋_GB2312" w:eastAsia="仿宋_GB2312"/>
          <w:sz w:val="32"/>
          <w:szCs w:val="24"/>
          <w:highlight w:val="none"/>
          <w:lang w:val="en-US"/>
        </w:rPr>
        <w:t>办公费、邮电费。</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zh-CN" w:eastAsia="zh-CN"/>
        </w:rPr>
      </w:pP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七、一般公共预算财政拨款“三公”经费支出决算情况说明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2"/>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（一）“三公”经费财政拨款支出决算总体情况说明。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2021年度“三公”经费财政拨款支出预算为0.00万元，支出决算为0.00万元，完成预算的0.00%。2021年度“三公”经费支出决算数与预算数无差异。</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2"/>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（二）“三公”经费财政拨款支出决算具体情况说明。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2021年度“三公”经费财政拨款支出决算中，因公出国（境）费支出决算0.00万元，完成预算的0.00%，占0.00%；公务用车购置及运行费支出决算0.00万元，完成预算的0.00%，占0.00%；公务接待费支出决算0.00万元，完成预算的0.00%，占0.00%。具体情况如下：</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1．因公出国（境）费</w:t>
      </w:r>
      <w:r>
        <w:rPr>
          <w:rFonts w:hint="eastAsia" w:ascii="仿宋_GB2312" w:hAnsi="仿宋_GB2312" w:eastAsia="仿宋_GB2312" w:cs="仿宋_GB2312"/>
          <w:color w:val="auto"/>
          <w:sz w:val="32"/>
          <w:szCs w:val="32"/>
          <w:highlight w:val="none"/>
          <w:lang w:val="en-US" w:eastAsia="zh-CN"/>
        </w:rPr>
        <w:t>预算为0.00万元，支出决算为0.00万元，完成预算的0.00%。决算数与预算数无差异。全年因公出国（境）团组0个，累计0人次。</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2．公务用车购置及运行费</w:t>
      </w:r>
      <w:r>
        <w:rPr>
          <w:rFonts w:hint="eastAsia" w:ascii="仿宋_GB2312" w:hAnsi="仿宋_GB2312" w:eastAsia="仿宋_GB2312" w:cs="仿宋_GB2312"/>
          <w:color w:val="auto"/>
          <w:sz w:val="32"/>
          <w:szCs w:val="32"/>
          <w:highlight w:val="none"/>
          <w:lang w:val="en-US" w:eastAsia="zh-CN"/>
        </w:rPr>
        <w:t>预算为0.00万元，支出决算为0.00万元，完成预算的0.00%。决算数与预算数无差异。其中：</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公务用车购置支出</w:t>
      </w:r>
      <w:r>
        <w:rPr>
          <w:rFonts w:hint="eastAsia" w:ascii="仿宋_GB2312" w:hAnsi="仿宋_GB2312" w:eastAsia="仿宋_GB2312" w:cs="仿宋_GB2312"/>
          <w:color w:val="auto"/>
          <w:sz w:val="32"/>
          <w:szCs w:val="32"/>
          <w:highlight w:val="none"/>
          <w:lang w:val="en-US" w:eastAsia="zh-CN"/>
        </w:rPr>
        <w:t>0.00</w:t>
      </w:r>
      <w:r>
        <w:rPr>
          <w:rFonts w:hint="eastAsia" w:ascii="仿宋_GB2312" w:hAnsi="仿宋_GB2312" w:eastAsia="仿宋_GB2312" w:cs="仿宋_GB2312"/>
          <w:b w:val="0"/>
          <w:bCs w:val="0"/>
          <w:color w:val="auto"/>
          <w:sz w:val="32"/>
          <w:szCs w:val="32"/>
          <w:highlight w:val="none"/>
          <w:lang w:val="en-US" w:eastAsia="zh-CN"/>
        </w:rPr>
        <w:t>万元</w:t>
      </w:r>
      <w:r>
        <w:rPr>
          <w:rFonts w:hint="eastAsia" w:ascii="仿宋_GB2312" w:hAnsi="仿宋_GB2312" w:eastAsia="仿宋_GB2312" w:cs="仿宋_GB2312"/>
          <w:color w:val="auto"/>
          <w:sz w:val="32"/>
          <w:szCs w:val="32"/>
          <w:highlight w:val="none"/>
          <w:lang w:val="en-US" w:eastAsia="zh-CN"/>
        </w:rPr>
        <w:t>，购置车辆0辆。</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公务用车运行支出</w:t>
      </w:r>
      <w:r>
        <w:rPr>
          <w:rFonts w:hint="eastAsia" w:ascii="仿宋_GB2312" w:hAnsi="仿宋_GB2312" w:eastAsia="仿宋_GB2312" w:cs="仿宋_GB2312"/>
          <w:color w:val="auto"/>
          <w:sz w:val="32"/>
          <w:szCs w:val="32"/>
          <w:highlight w:val="none"/>
          <w:lang w:val="en-US" w:eastAsia="zh-CN"/>
        </w:rPr>
        <w:t>0.00</w:t>
      </w:r>
      <w:r>
        <w:rPr>
          <w:rFonts w:hint="eastAsia" w:ascii="仿宋_GB2312" w:hAnsi="仿宋_GB2312" w:eastAsia="仿宋_GB2312" w:cs="仿宋_GB2312"/>
          <w:b w:val="0"/>
          <w:bCs w:val="0"/>
          <w:color w:val="auto"/>
          <w:sz w:val="32"/>
          <w:szCs w:val="32"/>
          <w:highlight w:val="none"/>
          <w:lang w:val="en-US" w:eastAsia="zh-CN"/>
        </w:rPr>
        <w:t>万元。</w:t>
      </w:r>
      <w:r>
        <w:rPr>
          <w:rFonts w:hint="eastAsia" w:ascii="仿宋_GB2312" w:hAnsi="仿宋_GB2312" w:eastAsia="仿宋_GB2312" w:cs="仿宋_GB2312"/>
          <w:color w:val="auto"/>
          <w:sz w:val="32"/>
          <w:szCs w:val="32"/>
          <w:highlight w:val="none"/>
          <w:lang w:val="en-US" w:eastAsia="zh-CN"/>
        </w:rPr>
        <w:t>2021年期末，部门开支财政拨款的公务用车保有量为0辆。</w:t>
      </w:r>
    </w:p>
    <w:p>
      <w:pPr>
        <w:keepNext w:val="0"/>
        <w:keepLines w:val="0"/>
        <w:pageBreakBefore w:val="0"/>
        <w:widowControl/>
        <w:numPr>
          <w:ilvl w:val="0"/>
          <w:numId w:val="0"/>
        </w:numPr>
        <w:kinsoku/>
        <w:wordWrap/>
        <w:overflowPunct/>
        <w:topLinePunct w:val="0"/>
        <w:autoSpaceDE/>
        <w:autoSpaceDN/>
        <w:bidi w:val="0"/>
        <w:adjustRightInd/>
        <w:snapToGrid/>
        <w:spacing w:line="590" w:lineRule="exact"/>
        <w:ind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3.公务接待费</w:t>
      </w:r>
      <w:r>
        <w:rPr>
          <w:rFonts w:hint="eastAsia" w:ascii="仿宋_GB2312" w:hAnsi="仿宋_GB2312" w:eastAsia="仿宋_GB2312" w:cs="仿宋_GB2312"/>
          <w:color w:val="auto"/>
          <w:sz w:val="32"/>
          <w:szCs w:val="32"/>
          <w:highlight w:val="none"/>
          <w:lang w:val="en-US" w:eastAsia="zh-CN"/>
        </w:rPr>
        <w:t>预算为0.00万元，支出决算为0.00万元，完成预算的0.00%。决算数与预算数无差异。其中：</w:t>
      </w:r>
    </w:p>
    <w:p>
      <w:pPr>
        <w:keepNext w:val="0"/>
        <w:keepLines w:val="0"/>
        <w:pageBreakBefore w:val="0"/>
        <w:widowControl/>
        <w:numPr>
          <w:ilvl w:val="0"/>
          <w:numId w:val="0"/>
        </w:numPr>
        <w:kinsoku/>
        <w:wordWrap/>
        <w:overflowPunct/>
        <w:topLinePunct w:val="0"/>
        <w:autoSpaceDE/>
        <w:autoSpaceDN/>
        <w:bidi w:val="0"/>
        <w:adjustRightInd/>
        <w:snapToGrid/>
        <w:spacing w:line="590" w:lineRule="exact"/>
        <w:ind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外宾接待支出</w:t>
      </w:r>
      <w:r>
        <w:rPr>
          <w:rFonts w:hint="eastAsia" w:ascii="仿宋_GB2312" w:hAnsi="仿宋_GB2312" w:eastAsia="仿宋_GB2312" w:cs="仿宋_GB2312"/>
          <w:color w:val="auto"/>
          <w:sz w:val="32"/>
          <w:szCs w:val="32"/>
          <w:highlight w:val="none"/>
          <w:lang w:val="en-US" w:eastAsia="zh-CN"/>
        </w:rPr>
        <w:t>0.00万元。2021年共接待国（境）外来访团组0个、来访外宾0人次（不包括陪同人员）。</w:t>
      </w:r>
    </w:p>
    <w:p>
      <w:pPr>
        <w:keepNext w:val="0"/>
        <w:keepLines w:val="0"/>
        <w:pageBreakBefore w:val="0"/>
        <w:widowControl/>
        <w:numPr>
          <w:ilvl w:val="0"/>
          <w:numId w:val="0"/>
        </w:numPr>
        <w:kinsoku/>
        <w:wordWrap/>
        <w:overflowPunct/>
        <w:topLinePunct w:val="0"/>
        <w:autoSpaceDE/>
        <w:autoSpaceDN/>
        <w:bidi w:val="0"/>
        <w:adjustRightInd/>
        <w:snapToGrid/>
        <w:spacing w:line="590" w:lineRule="exact"/>
        <w:ind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其他国内公务接待支出</w:t>
      </w:r>
      <w:r>
        <w:rPr>
          <w:rFonts w:hint="eastAsia" w:ascii="仿宋_GB2312" w:hAnsi="仿宋_GB2312" w:eastAsia="仿宋_GB2312" w:cs="仿宋_GB2312"/>
          <w:color w:val="auto"/>
          <w:sz w:val="32"/>
          <w:szCs w:val="32"/>
          <w:highlight w:val="none"/>
          <w:lang w:val="en-US" w:eastAsia="zh-CN"/>
        </w:rPr>
        <w:t>0.00万元。2021年共接待国内来访团组0个、来宾0人次（不包括陪同人员）。</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八、政府性基金预算财政拨款支出决算情况说明</w:t>
      </w:r>
    </w:p>
    <w:p>
      <w:pPr>
        <w:widowControl/>
        <w:spacing w:line="59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2021年度政府性基金预算财政拨款支出年初预算为0.00万元，支出决算为0.00万元，完成预算的0.00%。不存在项目年末结转和结余资金数额较大。情况说明：</w:t>
      </w:r>
      <w:r>
        <w:rPr>
          <w:rFonts w:hint="eastAsia" w:ascii="仿宋_GB2312" w:hAnsi="仿宋_GB2312" w:eastAsia="仿宋_GB2312" w:cs="仿宋_GB2312"/>
          <w:sz w:val="32"/>
          <w:szCs w:val="32"/>
          <w:highlight w:val="none"/>
        </w:rPr>
        <w:t>我单位202</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年度没有政府性基金收入，也没有使用政府性基金安排的支出。</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九、机关运行经费支出情况说明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2021年度机关运行经费年初预算为0.00万元，支出决算为0.00万元，完成预算的0.00%。决算数与年初预算数无差异。情况说明：我单位不是行政机关，也不是参照公务员管理事业单位，没有机关运行经费支出。</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十、政府采购支出情况说明</w:t>
      </w:r>
    </w:p>
    <w:p>
      <w:pPr>
        <w:spacing w:beforeLines="0" w:afterLines="0" w:line="59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sz w:val="32"/>
          <w:szCs w:val="24"/>
          <w:highlight w:val="none"/>
          <w:lang w:val="en-US"/>
        </w:rPr>
        <w:t>2021年度政府采购支出总额0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万元，其中：政府采购货物支出0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万元、政府采购工程支出0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万元、政府采购服务支出0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万元。授予中小企业合同金额0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万元，占政府采购支出总额的0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%,其中：授予小微企业合同金额0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万元，占政府采购支出总额的0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十一、国有资产占用情况说明</w:t>
      </w:r>
    </w:p>
    <w:p>
      <w:pPr>
        <w:widowControl/>
        <w:spacing w:line="590" w:lineRule="exact"/>
        <w:ind w:firstLine="640" w:firstLineChars="200"/>
        <w:rPr>
          <w:rFonts w:hint="eastAsia"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2021</w:t>
      </w:r>
      <w:r>
        <w:rPr>
          <w:rFonts w:hint="eastAsia" w:ascii="仿宋_GB2312" w:hAnsi="仿宋_GB2312" w:eastAsia="仿宋_GB2312" w:cs="仿宋_GB2312"/>
          <w:sz w:val="32"/>
          <w:szCs w:val="32"/>
          <w:highlight w:val="none"/>
        </w:rPr>
        <w:t>年期末，我单位共有车辆</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辆，其中：省级领导干部用车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辆、主要领导干部用车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辆、机要通信用车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辆、应急保障车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辆、执法执勤用车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辆、特种专业技术用车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辆、离退休干部用车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辆、其他用车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辆；单位价值50</w:t>
      </w:r>
      <w:r>
        <w:rPr>
          <w:rFonts w:hint="eastAsia" w:ascii="仿宋_GB2312" w:hAnsi="仿宋_GB2312" w:eastAsia="仿宋_GB2312" w:cs="仿宋_GB2312"/>
          <w:sz w:val="32"/>
          <w:szCs w:val="32"/>
          <w:highlight w:val="none"/>
          <w:lang w:val="en-US" w:eastAsia="zh-CN"/>
        </w:rPr>
        <w:t>.00</w:t>
      </w:r>
      <w:r>
        <w:rPr>
          <w:rFonts w:hint="eastAsia" w:ascii="仿宋_GB2312" w:hAnsi="仿宋_GB2312" w:eastAsia="仿宋_GB2312" w:cs="仿宋_GB2312"/>
          <w:sz w:val="32"/>
          <w:szCs w:val="32"/>
          <w:highlight w:val="none"/>
        </w:rPr>
        <w:t>万元以上通用设备</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台（套），单位价值100</w:t>
      </w:r>
      <w:r>
        <w:rPr>
          <w:rFonts w:hint="eastAsia" w:ascii="仿宋_GB2312" w:hAnsi="仿宋_GB2312" w:eastAsia="仿宋_GB2312" w:cs="仿宋_GB2312"/>
          <w:sz w:val="32"/>
          <w:szCs w:val="32"/>
          <w:highlight w:val="none"/>
          <w:lang w:val="en-US" w:eastAsia="zh-CN"/>
        </w:rPr>
        <w:t>.00</w:t>
      </w:r>
      <w:r>
        <w:rPr>
          <w:rFonts w:hint="eastAsia" w:ascii="仿宋_GB2312" w:hAnsi="仿宋_GB2312" w:eastAsia="仿宋_GB2312" w:cs="仿宋_GB2312"/>
          <w:sz w:val="32"/>
          <w:szCs w:val="32"/>
          <w:highlight w:val="none"/>
        </w:rPr>
        <w:t>万元以上专用设备</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台（套）。</w:t>
      </w:r>
    </w:p>
    <w:p>
      <w:pPr>
        <w:spacing w:beforeLines="0" w:afterLines="0" w:line="590" w:lineRule="exact"/>
        <w:ind w:firstLine="640"/>
        <w:rPr>
          <w:rFonts w:hint="default" w:ascii="Times New Roman" w:hAnsi="Times New Roman" w:eastAsia="Times New Roman"/>
          <w:sz w:val="32"/>
          <w:szCs w:val="24"/>
          <w:highlight w:val="none"/>
          <w:lang w:val="en-US"/>
        </w:rPr>
      </w:pPr>
      <w:r>
        <w:rPr>
          <w:rFonts w:hint="eastAsia" w:ascii="黑体" w:hAnsi="黑体" w:eastAsia="黑体"/>
          <w:sz w:val="32"/>
          <w:szCs w:val="24"/>
          <w:highlight w:val="none"/>
          <w:lang w:val="en-US"/>
        </w:rPr>
        <w:t>十二、预算绩效情况说明</w:t>
      </w:r>
    </w:p>
    <w:p>
      <w:pPr>
        <w:spacing w:beforeLines="0" w:afterLines="0" w:line="590" w:lineRule="exact"/>
        <w:ind w:firstLine="640"/>
        <w:rPr>
          <w:rFonts w:hint="eastAsia" w:ascii="楷体_GB2312" w:hAnsi="楷体_GB2312" w:eastAsia="楷体_GB2312"/>
          <w:b/>
          <w:sz w:val="32"/>
          <w:szCs w:val="24"/>
          <w:highlight w:val="none"/>
          <w:lang w:val="en-US"/>
        </w:rPr>
      </w:pPr>
      <w:r>
        <w:rPr>
          <w:rFonts w:hint="eastAsia" w:ascii="楷体_GB2312" w:hAnsi="楷体_GB2312" w:eastAsia="楷体_GB2312"/>
          <w:b/>
          <w:sz w:val="32"/>
          <w:szCs w:val="24"/>
          <w:highlight w:val="none"/>
          <w:lang w:val="en-US"/>
        </w:rPr>
        <w:t>（一）绩效管理工作开展情况。</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highlight w:val="none"/>
          <w:lang w:val="en-US"/>
        </w:rPr>
      </w:pPr>
      <w:r>
        <w:rPr>
          <w:rFonts w:hint="eastAsia" w:ascii="仿宋_GB2312" w:hAnsi="仿宋_GB2312" w:eastAsia="仿宋_GB2312" w:cs="仿宋_GB2312"/>
          <w:color w:val="auto"/>
          <w:sz w:val="32"/>
          <w:szCs w:val="32"/>
          <w:highlight w:val="none"/>
          <w:lang w:val="en-US" w:eastAsia="zh-CN"/>
        </w:rPr>
        <w:t>我单位按照《许昌市建安区财政局关于开展2021年度区级预算项目绩效自评工作的通知》（建安财效〔2022〕2号）文件要求，对本单位整体支出和项目支出开展全过程预算绩效管理。2021年我单位纳入预算绩效管理的支出总额为214.30万元，其中：基本支出214.30万元；支出项目0个，支出金额0.00万元。开展项目绩效自评项目0个，自评金额0.00万元；纳入重点绩效评价0个，评价金额0.00万元。</w:t>
      </w:r>
    </w:p>
    <w:p>
      <w:pPr>
        <w:keepNext w:val="0"/>
        <w:keepLines w:val="0"/>
        <w:pageBreakBefore w:val="0"/>
        <w:widowControl/>
        <w:kinsoku/>
        <w:wordWrap/>
        <w:overflowPunct/>
        <w:topLinePunct w:val="0"/>
        <w:autoSpaceDE/>
        <w:autoSpaceDN/>
        <w:bidi w:val="0"/>
        <w:adjustRightInd/>
        <w:snapToGrid/>
        <w:spacing w:line="360" w:lineRule="auto"/>
        <w:ind w:right="0" w:rightChars="0" w:firstLine="643" w:firstLineChars="200"/>
        <w:jc w:val="both"/>
        <w:textAlignment w:val="auto"/>
        <w:outlineLvl w:val="2"/>
        <w:rPr>
          <w:rFonts w:hint="default" w:ascii="Times New Roman" w:hAnsi="Times New Roman" w:eastAsia="Times New Roman"/>
          <w:sz w:val="21"/>
          <w:szCs w:val="24"/>
          <w:highlight w:val="none"/>
          <w:lang w:val="en-US"/>
        </w:rPr>
      </w:pPr>
      <w:bookmarkStart w:id="0" w:name="_GoBack"/>
      <w:r>
        <w:rPr>
          <w:rFonts w:hint="eastAsia" w:ascii="楷体_GB2312" w:hAnsi="楷体_GB2312" w:eastAsia="楷体_GB2312" w:cs="楷体_GB2312"/>
          <w:b/>
          <w:bCs/>
          <w:color w:val="auto"/>
          <w:sz w:val="32"/>
          <w:szCs w:val="32"/>
          <w:highlight w:val="none"/>
          <w:lang w:val="en-US" w:eastAsia="zh-CN"/>
        </w:rPr>
        <w:t>（二）部门（单位）整体和项目绩效自评结果。</w:t>
      </w:r>
    </w:p>
    <w:bookmarkEnd w:id="0"/>
    <w:p>
      <w:pPr>
        <w:keepNext w:val="0"/>
        <w:keepLines w:val="0"/>
        <w:pageBreakBefore w:val="0"/>
        <w:widowControl/>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按照《许昌市财政局关于开展2021年度市级预算绩效自评工作的通知》（许财效）〔2021〕1号）等文件精神，我单位对本单位整体绩效目标和项目支出绩效目标进行了自评。一是单位整体绩效自评情况：</w:t>
      </w:r>
      <w:r>
        <w:rPr>
          <w:rFonts w:hint="eastAsia" w:ascii="仿宋_GB2312" w:hAnsi="仿宋_GB2312" w:eastAsia="仿宋_GB2312" w:cs="仿宋_GB2312"/>
          <w:sz w:val="32"/>
          <w:szCs w:val="32"/>
          <w:highlight w:val="none"/>
        </w:rPr>
        <w:t>自20</w:t>
      </w:r>
      <w:r>
        <w:rPr>
          <w:rFonts w:hint="eastAsia" w:ascii="仿宋_GB2312" w:hAnsi="仿宋_GB2312" w:eastAsia="仿宋_GB2312" w:cs="仿宋_GB2312"/>
          <w:sz w:val="32"/>
          <w:szCs w:val="32"/>
          <w:highlight w:val="none"/>
          <w:lang w:val="en-US" w:eastAsia="zh-CN"/>
        </w:rPr>
        <w:t>21</w:t>
      </w:r>
      <w:r>
        <w:rPr>
          <w:rFonts w:hint="eastAsia" w:ascii="仿宋_GB2312" w:hAnsi="仿宋_GB2312" w:eastAsia="仿宋_GB2312" w:cs="仿宋_GB2312"/>
          <w:sz w:val="32"/>
          <w:szCs w:val="32"/>
          <w:highlight w:val="none"/>
        </w:rPr>
        <w:t>年全面开展绩效工作，对管理人员，主要是根据层层分解的关键业绩指标完成情况进行考核；同时，在</w:t>
      </w:r>
      <w:r>
        <w:rPr>
          <w:rFonts w:hint="eastAsia" w:ascii="仿宋_GB2312" w:hAnsi="仿宋_GB2312" w:eastAsia="仿宋_GB2312" w:cs="仿宋_GB2312"/>
          <w:sz w:val="32"/>
          <w:szCs w:val="32"/>
          <w:highlight w:val="none"/>
          <w:lang w:eastAsia="zh-CN"/>
        </w:rPr>
        <w:t>站</w:t>
      </w:r>
      <w:r>
        <w:rPr>
          <w:rFonts w:hint="eastAsia" w:ascii="仿宋_GB2312" w:hAnsi="仿宋_GB2312" w:eastAsia="仿宋_GB2312" w:cs="仿宋_GB2312"/>
          <w:sz w:val="32"/>
          <w:szCs w:val="32"/>
          <w:highlight w:val="none"/>
        </w:rPr>
        <w:t>里倡导采用“考勤制”考核办法，办公室出台了“工作突出制”实施指导意见，帮助</w:t>
      </w:r>
      <w:r>
        <w:rPr>
          <w:rFonts w:hint="eastAsia" w:ascii="仿宋_GB2312" w:hAnsi="仿宋_GB2312" w:eastAsia="仿宋_GB2312" w:cs="仿宋_GB2312"/>
          <w:sz w:val="32"/>
          <w:szCs w:val="32"/>
          <w:highlight w:val="none"/>
          <w:lang w:eastAsia="zh-CN"/>
        </w:rPr>
        <w:t>站</w:t>
      </w:r>
      <w:r>
        <w:rPr>
          <w:rFonts w:hint="eastAsia" w:ascii="仿宋_GB2312" w:hAnsi="仿宋_GB2312" w:eastAsia="仿宋_GB2312" w:cs="仿宋_GB2312"/>
          <w:sz w:val="32"/>
          <w:szCs w:val="32"/>
          <w:highlight w:val="none"/>
        </w:rPr>
        <w:t>里建立各自的考核办法。经过</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的实施，绩效管理在管理人员中起到了一定的积极作用，各级管理人员真正认识到自己的岗位职责，能够认真履职，管理水平得到极大地提高。在任务繁重、人员紧张的情况下，我们看到，由于长期疲劳工作，干活多的人和干活少的人有了比较，岗位高的人与岗位低的人都在努力干好自己的工作，遵守</w:t>
      </w:r>
      <w:r>
        <w:rPr>
          <w:rFonts w:hint="eastAsia" w:ascii="仿宋_GB2312" w:hAnsi="仿宋_GB2312" w:eastAsia="仿宋_GB2312" w:cs="仿宋_GB2312"/>
          <w:sz w:val="32"/>
          <w:szCs w:val="32"/>
          <w:highlight w:val="none"/>
          <w:lang w:eastAsia="zh-CN"/>
        </w:rPr>
        <w:t>站</w:t>
      </w:r>
      <w:r>
        <w:rPr>
          <w:rFonts w:hint="eastAsia" w:ascii="仿宋_GB2312" w:hAnsi="仿宋_GB2312" w:eastAsia="仿宋_GB2312" w:cs="仿宋_GB2312"/>
          <w:sz w:val="32"/>
          <w:szCs w:val="32"/>
          <w:highlight w:val="none"/>
        </w:rPr>
        <w:t>里的纪律，</w:t>
      </w:r>
      <w:r>
        <w:rPr>
          <w:rFonts w:hint="eastAsia" w:ascii="仿宋_GB2312" w:hAnsi="仿宋_GB2312" w:eastAsia="仿宋_GB2312" w:cs="仿宋_GB2312"/>
          <w:sz w:val="32"/>
          <w:szCs w:val="32"/>
          <w:highlight w:val="none"/>
          <w:lang w:eastAsia="zh-CN"/>
        </w:rPr>
        <w:t>站</w:t>
      </w:r>
      <w:r>
        <w:rPr>
          <w:rFonts w:hint="eastAsia" w:ascii="仿宋_GB2312" w:hAnsi="仿宋_GB2312" w:eastAsia="仿宋_GB2312" w:cs="仿宋_GB2312"/>
          <w:sz w:val="32"/>
          <w:szCs w:val="32"/>
          <w:highlight w:val="none"/>
        </w:rPr>
        <w:t>里的凝聚力和战斗力提高，工作效率提高，以上现象，说明我们的</w:t>
      </w:r>
      <w:r>
        <w:rPr>
          <w:rFonts w:hint="eastAsia" w:ascii="仿宋_GB2312" w:hAnsi="仿宋_GB2312" w:eastAsia="仿宋_GB2312" w:cs="仿宋_GB2312"/>
          <w:sz w:val="32"/>
          <w:szCs w:val="32"/>
          <w:highlight w:val="none"/>
          <w:lang w:eastAsia="zh-CN"/>
        </w:rPr>
        <w:t>整体</w:t>
      </w:r>
      <w:r>
        <w:rPr>
          <w:rFonts w:hint="eastAsia" w:ascii="仿宋_GB2312" w:hAnsi="仿宋_GB2312" w:eastAsia="仿宋_GB2312" w:cs="仿宋_GB2312"/>
          <w:sz w:val="32"/>
          <w:szCs w:val="32"/>
          <w:highlight w:val="none"/>
        </w:rPr>
        <w:t>绩效管理工作取得了一定的成效</w:t>
      </w:r>
      <w:r>
        <w:rPr>
          <w:rFonts w:hint="eastAsia" w:ascii="仿宋_GB2312" w:hAnsi="仿宋_GB2312" w:eastAsia="仿宋_GB2312" w:cs="仿宋_GB2312"/>
          <w:color w:val="auto"/>
          <w:sz w:val="32"/>
          <w:szCs w:val="32"/>
          <w:highlight w:val="none"/>
          <w:lang w:val="en-US" w:eastAsia="zh-CN"/>
        </w:rPr>
        <w:t>。二是项目绩效自评情况。我单位共有0个项目批复了绩效目标。</w:t>
      </w:r>
    </w:p>
    <w:p>
      <w:pPr>
        <w:keepNext w:val="0"/>
        <w:keepLines w:val="0"/>
        <w:pageBreakBefore w:val="0"/>
        <w:widowControl/>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基于项目预期目标的实现程度，对2021年度项目支出绩效进行自评，绩效自评平均得分为0分。其中：0个项目评价等级为“优”、0个项目评价等级为“良”、0个项目评价等级为“中”、0个项目评价等级为“差”。</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964" w:firstLineChars="300"/>
        <w:jc w:val="both"/>
        <w:textAlignment w:val="auto"/>
        <w:outlineLvl w:val="2"/>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（三）重点绩效评价结果。</w:t>
      </w:r>
    </w:p>
    <w:p>
      <w:pPr>
        <w:widowControl/>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我单位选取0个项目开展了部门重点评价，评价得分：/分，等次为“/”。许昌市建安区财政局选取我单位：0个项目开展财政重点评价。</w:t>
      </w:r>
    </w:p>
    <w:p>
      <w:pPr>
        <w:widowControl/>
        <w:ind w:firstLine="640" w:firstLineChars="200"/>
        <w:jc w:val="left"/>
        <w:rPr>
          <w:rFonts w:hint="default" w:ascii="黑体" w:hAnsi="宋体" w:eastAsia="黑体" w:cs="宋体"/>
          <w:kern w:val="0"/>
          <w:sz w:val="28"/>
          <w:szCs w:val="28"/>
          <w:highlight w:val="none"/>
          <w:lang w:val="en-US"/>
        </w:rPr>
      </w:pPr>
      <w:r>
        <w:rPr>
          <w:rFonts w:hint="eastAsia" w:ascii="仿宋_GB2312" w:hAnsi="仿宋_GB2312" w:eastAsia="仿宋_GB2312" w:cs="仿宋_GB2312"/>
          <w:color w:val="auto"/>
          <w:sz w:val="32"/>
          <w:szCs w:val="32"/>
          <w:highlight w:val="none"/>
          <w:lang w:val="en-US" w:eastAsia="zh-CN"/>
        </w:rPr>
        <w:t>2021年度我单位没有开展重点绩效评价的项目。</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pStyle w:val="4"/>
        <w:rPr>
          <w:rFonts w:hint="eastAsia" w:ascii="黑体" w:hAnsi="宋体" w:eastAsia="黑体" w:cs="宋体"/>
          <w:color w:val="auto"/>
          <w:kern w:val="0"/>
          <w:sz w:val="28"/>
          <w:szCs w:val="28"/>
          <w:highlight w:val="none"/>
          <w:lang w:val="en-US" w:eastAsia="zh-CN"/>
        </w:rPr>
      </w:pPr>
    </w:p>
    <w:p>
      <w:pPr>
        <w:rPr>
          <w:rFonts w:hint="eastAsia" w:ascii="黑体" w:hAnsi="宋体" w:eastAsia="黑体" w:cs="宋体"/>
          <w:color w:val="auto"/>
          <w:kern w:val="0"/>
          <w:sz w:val="28"/>
          <w:szCs w:val="28"/>
          <w:highlight w:val="none"/>
          <w:lang w:val="en-US" w:eastAsia="zh-CN"/>
        </w:rPr>
      </w:pPr>
    </w:p>
    <w:p>
      <w:pPr>
        <w:pStyle w:val="4"/>
        <w:rPr>
          <w:rFonts w:hint="eastAsia" w:ascii="黑体" w:hAnsi="宋体" w:eastAsia="黑体" w:cs="宋体"/>
          <w:color w:val="auto"/>
          <w:kern w:val="0"/>
          <w:sz w:val="28"/>
          <w:szCs w:val="28"/>
          <w:highlight w:val="none"/>
          <w:lang w:val="en-US" w:eastAsia="zh-CN"/>
        </w:rPr>
      </w:pPr>
    </w:p>
    <w:p>
      <w:pPr>
        <w:rPr>
          <w:rFonts w:hint="eastAsia" w:ascii="黑体" w:hAnsi="宋体" w:eastAsia="黑体" w:cs="宋体"/>
          <w:color w:val="auto"/>
          <w:kern w:val="0"/>
          <w:sz w:val="28"/>
          <w:szCs w:val="28"/>
          <w:highlight w:val="none"/>
          <w:lang w:val="en-US" w:eastAsia="zh-CN"/>
        </w:rPr>
      </w:pPr>
    </w:p>
    <w:p>
      <w:pPr>
        <w:pStyle w:val="4"/>
        <w:rPr>
          <w:rFonts w:hint="eastAsia" w:ascii="黑体" w:hAnsi="宋体" w:eastAsia="黑体" w:cs="宋体"/>
          <w:color w:val="auto"/>
          <w:kern w:val="0"/>
          <w:sz w:val="28"/>
          <w:szCs w:val="28"/>
          <w:highlight w:val="none"/>
          <w:lang w:val="en-US" w:eastAsia="zh-CN"/>
        </w:rPr>
      </w:pPr>
    </w:p>
    <w:p>
      <w:pPr>
        <w:rPr>
          <w:rFonts w:hint="eastAsia" w:ascii="黑体" w:hAnsi="宋体" w:eastAsia="黑体" w:cs="宋体"/>
          <w:color w:val="auto"/>
          <w:kern w:val="0"/>
          <w:sz w:val="28"/>
          <w:szCs w:val="28"/>
          <w:highlight w:val="none"/>
          <w:lang w:val="en-US" w:eastAsia="zh-CN"/>
        </w:rPr>
      </w:pPr>
    </w:p>
    <w:p>
      <w:pPr>
        <w:pStyle w:val="4"/>
        <w:rPr>
          <w:rFonts w:hint="eastAsia" w:ascii="黑体" w:hAnsi="宋体" w:eastAsia="黑体" w:cs="宋体"/>
          <w:color w:val="auto"/>
          <w:kern w:val="0"/>
          <w:sz w:val="28"/>
          <w:szCs w:val="28"/>
          <w:highlight w:val="none"/>
          <w:lang w:val="en-US" w:eastAsia="zh-CN"/>
        </w:rPr>
      </w:pPr>
    </w:p>
    <w:p>
      <w:pPr>
        <w:rPr>
          <w:rFonts w:hint="eastAsia"/>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jc w:val="center"/>
        <w:outlineLvl w:val="0"/>
        <w:rPr>
          <w:rFonts w:hint="eastAsia" w:ascii="黑体" w:hAnsi="黑体" w:eastAsia="黑体" w:cs="黑体"/>
          <w:color w:val="auto"/>
          <w:sz w:val="48"/>
          <w:szCs w:val="48"/>
          <w:highlight w:val="none"/>
        </w:rPr>
      </w:pPr>
      <w:r>
        <w:rPr>
          <w:rFonts w:hint="eastAsia" w:ascii="黑体" w:hAnsi="黑体" w:eastAsia="黑体" w:cs="黑体"/>
          <w:color w:val="auto"/>
          <w:sz w:val="48"/>
          <w:szCs w:val="48"/>
          <w:highlight w:val="none"/>
        </w:rPr>
        <w:t>第</w:t>
      </w:r>
      <w:r>
        <w:rPr>
          <w:rFonts w:hint="eastAsia" w:ascii="黑体" w:hAnsi="黑体" w:eastAsia="黑体" w:cs="黑体"/>
          <w:color w:val="auto"/>
          <w:sz w:val="48"/>
          <w:szCs w:val="48"/>
          <w:highlight w:val="none"/>
          <w:lang w:eastAsia="zh-CN"/>
        </w:rPr>
        <w:t>四</w:t>
      </w:r>
      <w:r>
        <w:rPr>
          <w:rFonts w:hint="eastAsia" w:ascii="黑体" w:hAnsi="黑体" w:eastAsia="黑体" w:cs="黑体"/>
          <w:color w:val="auto"/>
          <w:sz w:val="48"/>
          <w:szCs w:val="48"/>
          <w:highlight w:val="none"/>
        </w:rPr>
        <w:t>部分</w:t>
      </w:r>
      <w:r>
        <w:rPr>
          <w:rFonts w:hint="eastAsia" w:ascii="黑体" w:hAnsi="黑体" w:eastAsia="黑体" w:cs="黑体"/>
          <w:color w:val="auto"/>
          <w:sz w:val="48"/>
          <w:szCs w:val="48"/>
          <w:highlight w:val="none"/>
          <w:lang w:val="en-US" w:eastAsia="zh-CN"/>
        </w:rPr>
        <w:t xml:space="preserve">  </w:t>
      </w:r>
      <w:r>
        <w:rPr>
          <w:rFonts w:hint="eastAsia" w:ascii="黑体" w:hAnsi="黑体" w:eastAsia="黑体" w:cs="黑体"/>
          <w:color w:val="auto"/>
          <w:sz w:val="48"/>
          <w:szCs w:val="48"/>
          <w:highlight w:val="none"/>
        </w:rPr>
        <w:t>名词解释</w:t>
      </w:r>
    </w:p>
    <w:p>
      <w:pPr>
        <w:jc w:val="center"/>
        <w:outlineLvl w:val="9"/>
        <w:rPr>
          <w:rFonts w:hint="eastAsia" w:ascii="黑体" w:hAnsi="黑体" w:eastAsia="黑体" w:cs="黑体"/>
          <w:color w:val="auto"/>
          <w:sz w:val="48"/>
          <w:szCs w:val="48"/>
          <w:highlight w:val="none"/>
        </w:rPr>
      </w:pPr>
    </w:p>
    <w:p>
      <w:pPr>
        <w:jc w:val="center"/>
        <w:outlineLvl w:val="0"/>
        <w:rPr>
          <w:rFonts w:hint="eastAsia" w:ascii="黑体" w:hAnsi="黑体" w:eastAsia="黑体" w:cs="黑体"/>
          <w:color w:val="auto"/>
          <w:sz w:val="48"/>
          <w:szCs w:val="48"/>
          <w:highlight w:val="none"/>
        </w:rPr>
        <w:sectPr>
          <w:pgSz w:w="11906" w:h="16838"/>
          <w:pgMar w:top="1440" w:right="1531" w:bottom="1440" w:left="1587" w:header="850" w:footer="992" w:gutter="0"/>
          <w:pgNumType w:fmt="numberInDash"/>
          <w:cols w:space="720" w:num="1"/>
          <w:rtlGutter w:val="0"/>
          <w:docGrid w:type="lines" w:linePitch="317" w:charSpace="0"/>
        </w:sectPr>
      </w:pP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一、财政拨款收入：</w:t>
      </w:r>
      <w:r>
        <w:rPr>
          <w:rFonts w:hint="eastAsia" w:ascii="仿宋_GB2312" w:hAnsi="仿宋_GB2312" w:eastAsia="仿宋_GB2312" w:cs="仿宋_GB2312"/>
          <w:color w:val="auto"/>
          <w:sz w:val="32"/>
          <w:szCs w:val="32"/>
          <w:highlight w:val="none"/>
          <w:lang w:val="en-US" w:eastAsia="zh-CN"/>
        </w:rPr>
        <w:t>单位从同级政府财政部门取得的财政预算资金。</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二、基本支出：为保障机构正常运转、完成日常工作任务而发生的人员支出和公用支出。</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三公”经费：纳入同级财政预决算管理“三公”经费，指部门使用财政拨款安排的因公出国（境）费、公务用车购置及运行费和公务接待费。其中，因公出国（境）费反映单位公务出国（境）的国际旅费、国外城市间交通费、住宿费、伙食费、培训费、公杂费等支出；公务用车购置及运行费反映反映单位公务用车车辆购置支出（含车辆购置税）及租用费、燃料费、维修费、过路过桥费、保险费、安全奖励费用等支出；公务接待费反映单位按规定开支的各类公务接待（含外宾接待）支出。</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四、工资福利支出：单位支付给在职职工和编制外长期聘用人员的各类劳动报酬，以及为上述人员缴纳的各项社会保险费等。</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五、商品和服务支出：单位购买商品和服务的支出。</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六、对个人和家庭的补助支出：单位用于对个人和家庭的补助支出。</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七、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八、年末结转：本年度或以前年度预算安排，已执行但尚未完成或因客观条件发生变化无法按原计划实施，需延迟到以后年度按有关规定继续使用的资金。</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九、年末结余：本年度或以前年度预算安排，已执行完毕或因客观条件发生变化无法按原预算安排实施，不需要再使用或无法按原预算安排继续使用的资金。</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p>
    <w:p>
      <w:pPr>
        <w:widowControl/>
        <w:spacing w:line="590" w:lineRule="exact"/>
        <w:ind w:firstLine="640" w:firstLineChars="200"/>
        <w:jc w:val="left"/>
        <w:rPr>
          <w:rFonts w:hint="eastAsia" w:ascii="仿宋_GB2312" w:hAnsi="仿宋_GB2312" w:eastAsia="仿宋_GB2312" w:cs="仿宋_GB2312"/>
          <w:sz w:val="32"/>
          <w:szCs w:val="32"/>
          <w:highlight w:val="none"/>
        </w:rPr>
      </w:pP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p>
    <w:sectPr>
      <w:pgSz w:w="11906" w:h="16838"/>
      <w:pgMar w:top="1928" w:right="1474" w:bottom="1701"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0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- 3 -</w:t>
                          </w:r>
                          <w:r>
                            <w:rPr>
                              <w:rFonts w:hint="eastAsia"/>
                              <w:sz w:val="18"/>
                              <w:lang w:eastAsia="zh-CN"/>
                            </w:rPr>
                            <w:fldChar w:fldCharType="end"/>
                          </w:r>
                        </w:p>
                      </w:txbxContent>
                    </wps:txbx>
                    <wps:bodyPr vert="horz" wrap="none" lIns="0" tIns="0" rIns="0" bIns="0" anchor="t" anchorCtr="0" upright="0">
                      <a:spAutoFit/>
                    </wps:bodyPr>
                  </wps:wsp>
                </a:graphicData>
              </a:graphic>
            </wp:anchor>
          </w:drawing>
        </mc:Choice>
        <mc:Fallback>
          <w:pict>
            <v:shape id="文本框 205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Nxd+CHgAQAAwQMAAA4AAAAA&#10;AAAAAQAgAAAAHgEAAGRycy9lMm9Eb2MueG1sUEsFBgAAAAAGAAYAWQEAAHAFA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- 3 -</w:t>
                    </w:r>
                    <w:r>
                      <w:rPr>
                        <w:rFonts w:hint="eastAsia"/>
                        <w:sz w:val="18"/>
                        <w:lang w:eastAsia="zh-CN"/>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rPr>
                              <w:rFonts w:hint="eastAsia"/>
                              <w:lang w:eastAsia="zh-CN"/>
                            </w:rPr>
                          </w:pPr>
                        </w:p>
                      </w:txbxContent>
                    </wps:txbx>
                    <wps:bodyPr vert="horz" wrap="none" lIns="0" tIns="0" rIns="0" bIns="0" anchor="t" anchorCtr="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EOVRwbgAQAAwQMAAA4AAAAA&#10;AAAAAQAgAAAAHgEAAGRycy9lMm9Eb2MueG1sUEsFBgAAAAAGAAYAWQEAAHAFAAAAAA==&#10;">
              <v:fill on="f" focussize="0,0"/>
              <v:stroke on="f"/>
              <v:imagedata o:title=""/>
              <o:lock v:ext="edit" aspectratio="f"/>
              <v:textbox inset="0mm,0mm,0mm,0mm" style="mso-fit-shape-to-text:t;">
                <w:txbxContent>
                  <w:p>
                    <w:pPr>
                      <w:rPr>
                        <w:rFonts w:hint="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0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- 2 -</w:t>
                          </w:r>
                          <w:r>
                            <w:rPr>
                              <w:rFonts w:hint="eastAsia"/>
                              <w:sz w:val="18"/>
                              <w:lang w:eastAsia="zh-CN"/>
                            </w:rPr>
                            <w:fldChar w:fldCharType="end"/>
                          </w:r>
                        </w:p>
                      </w:txbxContent>
                    </wps:txbx>
                    <wps:bodyPr wrap="none" lIns="0" tIns="0" rIns="0" bIns="0" upright="0">
                      <a:spAutoFit/>
                    </wps:bodyPr>
                  </wps:wsp>
                </a:graphicData>
              </a:graphic>
            </wp:anchor>
          </w:drawing>
        </mc:Choice>
        <mc:Fallback>
          <w:pict>
            <v:shape id="文本框 205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INeFG7LAQAAnAMAAA4AAAAAAAAAAQAgAAAAHgEAAGRycy9lMm9E&#10;b2MueG1sUEsFBgAAAAAGAAYAWQEAAFsFA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- 2 -</w:t>
                    </w:r>
                    <w:r>
                      <w:rPr>
                        <w:rFonts w:hint="eastAsia"/>
                        <w:sz w:val="1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singleLevel"/>
    <w:tmpl w:val="00000006"/>
    <w:lvl w:ilvl="0" w:tentative="0">
      <w:start w:val="1"/>
      <w:numFmt w:val="chineseCounting"/>
      <w:suff w:val="nothing"/>
      <w:lvlText w:val="%1、"/>
      <w:lvlJc w:val="left"/>
    </w:lvl>
  </w:abstractNum>
  <w:abstractNum w:abstractNumId="1">
    <w:nsid w:val="36B657B0"/>
    <w:multiLevelType w:val="singleLevel"/>
    <w:tmpl w:val="36B657B0"/>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2NTJmZmNiYTdkYTgyYzg0YWIyMGM2MzA4ZWY1NTUifQ=="/>
  </w:docVars>
  <w:rsids>
    <w:rsidRoot w:val="00172A27"/>
    <w:rsid w:val="00610597"/>
    <w:rsid w:val="01385254"/>
    <w:rsid w:val="019622F9"/>
    <w:rsid w:val="037802D7"/>
    <w:rsid w:val="0580326D"/>
    <w:rsid w:val="06E54240"/>
    <w:rsid w:val="09CB5F78"/>
    <w:rsid w:val="0C0F4F54"/>
    <w:rsid w:val="0DBA593F"/>
    <w:rsid w:val="0E0D1416"/>
    <w:rsid w:val="11B31769"/>
    <w:rsid w:val="16D0459E"/>
    <w:rsid w:val="174F3FD9"/>
    <w:rsid w:val="17C10F35"/>
    <w:rsid w:val="18D07C10"/>
    <w:rsid w:val="1AD02CD6"/>
    <w:rsid w:val="1D012A8E"/>
    <w:rsid w:val="230C5E0B"/>
    <w:rsid w:val="247F542B"/>
    <w:rsid w:val="26080F88"/>
    <w:rsid w:val="26A560DE"/>
    <w:rsid w:val="297A3DB3"/>
    <w:rsid w:val="2A3E70CF"/>
    <w:rsid w:val="2B400C25"/>
    <w:rsid w:val="2C7219A3"/>
    <w:rsid w:val="2C93008C"/>
    <w:rsid w:val="2D7B23E8"/>
    <w:rsid w:val="2F104DB2"/>
    <w:rsid w:val="301B3A0F"/>
    <w:rsid w:val="305361EB"/>
    <w:rsid w:val="310D5F56"/>
    <w:rsid w:val="322F032F"/>
    <w:rsid w:val="32F1158B"/>
    <w:rsid w:val="332046E0"/>
    <w:rsid w:val="343E75A1"/>
    <w:rsid w:val="35EF2360"/>
    <w:rsid w:val="3801161A"/>
    <w:rsid w:val="38822C7E"/>
    <w:rsid w:val="396808F7"/>
    <w:rsid w:val="3A5E69D2"/>
    <w:rsid w:val="3B0B29B1"/>
    <w:rsid w:val="3D184F04"/>
    <w:rsid w:val="3EF711ED"/>
    <w:rsid w:val="4195647D"/>
    <w:rsid w:val="47370CD6"/>
    <w:rsid w:val="495207BF"/>
    <w:rsid w:val="4D165BB4"/>
    <w:rsid w:val="50DB26D2"/>
    <w:rsid w:val="52EB3E8C"/>
    <w:rsid w:val="54D6707D"/>
    <w:rsid w:val="57EE75AE"/>
    <w:rsid w:val="59EA768B"/>
    <w:rsid w:val="5B237C9F"/>
    <w:rsid w:val="5CC26E3C"/>
    <w:rsid w:val="5D2107A8"/>
    <w:rsid w:val="5EBF0A9A"/>
    <w:rsid w:val="64420839"/>
    <w:rsid w:val="651B5EE5"/>
    <w:rsid w:val="65407426"/>
    <w:rsid w:val="657D42CC"/>
    <w:rsid w:val="679037CD"/>
    <w:rsid w:val="697138CB"/>
    <w:rsid w:val="6BAE515B"/>
    <w:rsid w:val="6BDD334B"/>
    <w:rsid w:val="6C881F22"/>
    <w:rsid w:val="6E3F653F"/>
    <w:rsid w:val="6E547FD5"/>
    <w:rsid w:val="7080032A"/>
    <w:rsid w:val="70944F44"/>
    <w:rsid w:val="746E1286"/>
    <w:rsid w:val="763C5112"/>
    <w:rsid w:val="773439AB"/>
    <w:rsid w:val="77E83BA5"/>
    <w:rsid w:val="7CAE0CF9"/>
    <w:rsid w:val="7D853842"/>
    <w:rsid w:val="7DE5530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heading 1"/>
    <w:basedOn w:val="1"/>
    <w:next w:val="1"/>
    <w:uiPriority w:val="0"/>
    <w:pPr>
      <w:keepNext/>
      <w:keepLines/>
      <w:spacing w:before="340" w:beforeLines="0" w:after="330" w:afterLines="0" w:line="576" w:lineRule="auto"/>
      <w:outlineLvl w:val="0"/>
    </w:pPr>
    <w:rPr>
      <w:b/>
      <w:bCs/>
      <w:kern w:val="44"/>
      <w:sz w:val="44"/>
      <w:szCs w:val="44"/>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99"/>
    <w:pPr>
      <w:ind w:firstLine="420" w:firstLineChars="100"/>
    </w:pPr>
  </w:style>
  <w:style w:type="paragraph" w:styleId="3">
    <w:name w:val="Body Text"/>
    <w:basedOn w:val="1"/>
    <w:qFormat/>
    <w:uiPriority w:val="99"/>
    <w:pPr>
      <w:jc w:val="center"/>
    </w:pPr>
    <w:rPr>
      <w:rFonts w:eastAsia="黑体"/>
      <w:sz w:val="36"/>
      <w:szCs w:val="20"/>
    </w:rPr>
  </w:style>
  <w:style w:type="paragraph" w:styleId="5">
    <w:name w:val="annotation text"/>
    <w:basedOn w:val="1"/>
    <w:qFormat/>
    <w:uiPriority w:val="0"/>
    <w:pPr>
      <w:jc w:val="left"/>
    </w:pPr>
  </w:style>
  <w:style w:type="paragraph" w:styleId="6">
    <w:name w:val="Balloon Text"/>
    <w:basedOn w:val="1"/>
    <w:link w:val="15"/>
    <w:qFormat/>
    <w:uiPriority w:val="0"/>
    <w:rPr>
      <w:kern w:val="2"/>
      <w:sz w:val="18"/>
      <w:szCs w:val="18"/>
    </w:rPr>
  </w:style>
  <w:style w:type="paragraph" w:styleId="7">
    <w:name w:val="footer"/>
    <w:basedOn w:val="1"/>
    <w:link w:val="16"/>
    <w:qFormat/>
    <w:uiPriority w:val="0"/>
    <w:pPr>
      <w:tabs>
        <w:tab w:val="center" w:pos="4153"/>
        <w:tab w:val="right" w:pos="8306"/>
      </w:tabs>
      <w:snapToGrid w:val="0"/>
      <w:jc w:val="left"/>
    </w:pPr>
    <w:rPr>
      <w:kern w:val="2"/>
      <w:sz w:val="18"/>
      <w:szCs w:val="18"/>
    </w:rPr>
  </w:style>
  <w:style w:type="paragraph" w:styleId="8">
    <w:name w:val="header"/>
    <w:basedOn w:val="1"/>
    <w:link w:val="17"/>
    <w:qFormat/>
    <w:uiPriority w:val="0"/>
    <w:pPr>
      <w:pBdr>
        <w:bottom w:val="single" w:color="auto" w:sz="6" w:space="1"/>
      </w:pBdr>
      <w:tabs>
        <w:tab w:val="center" w:pos="4153"/>
        <w:tab w:val="right" w:pos="8306"/>
      </w:tabs>
      <w:snapToGrid w:val="0"/>
      <w:jc w:val="center"/>
    </w:pPr>
    <w:rPr>
      <w:kern w:val="2"/>
      <w:sz w:val="18"/>
      <w:szCs w:val="18"/>
    </w:rPr>
  </w:style>
  <w:style w:type="paragraph" w:styleId="9">
    <w:name w:val="footnote text"/>
    <w:basedOn w:val="1"/>
    <w:qFormat/>
    <w:uiPriority w:val="0"/>
    <w:pPr>
      <w:snapToGrid w:val="0"/>
      <w:jc w:val="left"/>
    </w:pPr>
    <w:rPr>
      <w:sz w:val="18"/>
    </w:rPr>
  </w:style>
  <w:style w:type="character" w:styleId="12">
    <w:name w:val="FollowedHyperlink"/>
    <w:qFormat/>
    <w:uiPriority w:val="0"/>
    <w:rPr>
      <w:color w:val="800080"/>
      <w:u w:val="single"/>
    </w:rPr>
  </w:style>
  <w:style w:type="character" w:styleId="13">
    <w:name w:val="Hyperlink"/>
    <w:qFormat/>
    <w:uiPriority w:val="0"/>
    <w:rPr>
      <w:color w:val="0000FF"/>
      <w:u w:val="single"/>
    </w:rPr>
  </w:style>
  <w:style w:type="character" w:styleId="14">
    <w:name w:val="footnote reference"/>
    <w:basedOn w:val="11"/>
    <w:qFormat/>
    <w:uiPriority w:val="0"/>
    <w:rPr>
      <w:vertAlign w:val="superscript"/>
    </w:rPr>
  </w:style>
  <w:style w:type="character" w:customStyle="1" w:styleId="15">
    <w:name w:val="批注框文本 Char Char"/>
    <w:basedOn w:val="11"/>
    <w:link w:val="6"/>
    <w:qFormat/>
    <w:uiPriority w:val="0"/>
    <w:rPr>
      <w:kern w:val="2"/>
      <w:sz w:val="18"/>
      <w:szCs w:val="18"/>
    </w:rPr>
  </w:style>
  <w:style w:type="character" w:customStyle="1" w:styleId="16">
    <w:name w:val="页脚 Char Char"/>
    <w:link w:val="7"/>
    <w:qFormat/>
    <w:uiPriority w:val="0"/>
    <w:rPr>
      <w:kern w:val="2"/>
      <w:sz w:val="18"/>
      <w:szCs w:val="18"/>
    </w:rPr>
  </w:style>
  <w:style w:type="character" w:customStyle="1" w:styleId="17">
    <w:name w:val="页眉 Char Char"/>
    <w:link w:val="8"/>
    <w:qFormat/>
    <w:uiPriority w:val="0"/>
    <w:rPr>
      <w:kern w:val="2"/>
      <w:sz w:val="18"/>
      <w:szCs w:val="18"/>
    </w:rPr>
  </w:style>
  <w:style w:type="character" w:customStyle="1" w:styleId="18">
    <w:name w:val="font01"/>
    <w:basedOn w:val="11"/>
    <w:qFormat/>
    <w:uiPriority w:val="0"/>
    <w:rPr>
      <w:rFonts w:hint="eastAsia" w:ascii="宋体" w:hAnsi="宋体" w:eastAsia="宋体" w:cs="宋体"/>
      <w:color w:val="000000"/>
      <w:sz w:val="22"/>
      <w:szCs w:val="22"/>
      <w:u w:val="none"/>
    </w:rPr>
  </w:style>
  <w:style w:type="character" w:customStyle="1" w:styleId="19">
    <w:name w:val="font51"/>
    <w:basedOn w:val="11"/>
    <w:qFormat/>
    <w:uiPriority w:val="0"/>
    <w:rPr>
      <w:rFonts w:hint="eastAsia" w:ascii="宋体" w:hAnsi="宋体" w:eastAsia="宋体" w:cs="宋体"/>
      <w:color w:val="000000"/>
      <w:sz w:val="24"/>
      <w:szCs w:val="24"/>
      <w:u w:val="none"/>
    </w:rPr>
  </w:style>
  <w:style w:type="character" w:customStyle="1" w:styleId="20">
    <w:name w:val="font41"/>
    <w:basedOn w:val="11"/>
    <w:qFormat/>
    <w:uiPriority w:val="0"/>
    <w:rPr>
      <w:rFonts w:hint="eastAsia" w:ascii="宋体" w:hAnsi="宋体" w:eastAsia="宋体" w:cs="宋体"/>
      <w:color w:val="000000"/>
      <w:sz w:val="24"/>
      <w:szCs w:val="24"/>
      <w:u w:val="none"/>
    </w:rPr>
  </w:style>
  <w:style w:type="character" w:customStyle="1" w:styleId="21">
    <w:name w:val="font11"/>
    <w:basedOn w:val="11"/>
    <w:qFormat/>
    <w:uiPriority w:val="0"/>
    <w:rPr>
      <w:rFonts w:hint="eastAsia" w:ascii="宋体" w:hAnsi="宋体" w:eastAsia="宋体" w:cs="宋体"/>
      <w:color w:val="000000"/>
      <w:sz w:val="20"/>
      <w:szCs w:val="20"/>
      <w:u w:val="none"/>
    </w:rPr>
  </w:style>
  <w:style w:type="character" w:customStyle="1" w:styleId="22">
    <w:name w:val="font21"/>
    <w:basedOn w:val="11"/>
    <w:qFormat/>
    <w:uiPriority w:val="0"/>
    <w:rPr>
      <w:rFonts w:hint="eastAsia" w:ascii="宋体" w:hAnsi="宋体" w:eastAsia="宋体" w:cs="宋体"/>
      <w:color w:val="000000"/>
      <w:sz w:val="22"/>
      <w:szCs w:val="22"/>
      <w:u w:val="none"/>
    </w:rPr>
  </w:style>
  <w:style w:type="paragraph" w:customStyle="1" w:styleId="23">
    <w:name w:val="标题1"/>
    <w:basedOn w:val="4"/>
    <w:qFormat/>
    <w:uiPriority w:val="0"/>
    <w:pPr>
      <w:spacing w:before="0" w:beforeLines="0" w:after="0" w:afterLines="0" w:line="240" w:lineRule="auto"/>
      <w:jc w:val="center"/>
    </w:pPr>
    <w:rPr>
      <w:rFonts w:ascii="华文中宋" w:hAnsi="华文中宋" w:eastAsia="华文中宋"/>
      <w:sz w:val="36"/>
      <w:szCs w:val="3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 User</Company>
  <Pages>27</Pages>
  <Words>6540</Words>
  <Characters>7803</Characters>
  <Lines>57</Lines>
  <Paragraphs>16</Paragraphs>
  <TotalTime>171</TotalTime>
  <ScaleCrop>false</ScaleCrop>
  <LinksUpToDate>false</LinksUpToDate>
  <CharactersWithSpaces>8101</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2007-11-29T03:41:00Z</dcterms:created>
  <dc:creator>管理者</dc:creator>
  <cp:lastModifiedBy>Administrator</cp:lastModifiedBy>
  <cp:lastPrinted>2018-07-24T10:50:00Z</cp:lastPrinted>
  <dcterms:modified xsi:type="dcterms:W3CDTF">2022-09-10T02:47:04Z</dcterms:modified>
  <dc:title>2020年度</dc:title>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07AB7EE5E58F4ED7A23C2F292890718E</vt:lpwstr>
  </property>
</Properties>
</file>