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0" w:firstLineChars="200"/>
        <w:rPr>
          <w:rFonts w:hint="eastAsia" w:ascii="Times New Roman" w:hAnsi="黑体" w:eastAsia="黑体" w:cs="黑体"/>
        </w:rPr>
      </w:pPr>
    </w:p>
    <w:p>
      <w:pPr>
        <w:pStyle w:val="3"/>
        <w:ind w:firstLine="643" w:firstLineChars="200"/>
        <w:jc w:val="both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灵井镇灵椹公路以东局部地块控制性详细规划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规划红线内总用地面积：11514平方米（17.2亩）；用地性质：工业（化学纤维制造业）； B-a:6065平方米（9.1亩）；</w:t>
      </w:r>
    </w:p>
    <w:p>
      <w:pPr>
        <w:numPr>
          <w:ilvl w:val="0"/>
          <w:numId w:val="1"/>
        </w:numPr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b:5449平方米（8.1亩）；建筑层数：低层、多层；建筑限高：＞8米；建筑密度：＞40%；容积率： ＞1.0；绿地率：＜20%；机动车停车位：&gt;0.1车位/100平方米建筑面积。</w:t>
      </w:r>
    </w:p>
    <w:p>
      <w:pPr>
        <w:numPr>
          <w:ilvl w:val="0"/>
          <w:numId w:val="0"/>
        </w:numPr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drawing>
          <wp:inline distT="0" distB="0" distL="114300" distR="114300">
            <wp:extent cx="5257800" cy="3286125"/>
            <wp:effectExtent l="0" t="0" r="0" b="9525"/>
            <wp:docPr id="1" name="图片 1" descr="灵椹公路以东珏东贸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灵椹公路以东珏东贸易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09BD67"/>
    <w:multiLevelType w:val="singleLevel"/>
    <w:tmpl w:val="CC09BD67"/>
    <w:lvl w:ilvl="0" w:tentative="0">
      <w:start w:val="2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F1C5DF3"/>
    <w:rsid w:val="3AB47816"/>
    <w:rsid w:val="50F61794"/>
    <w:rsid w:val="577F29D6"/>
    <w:rsid w:val="5A484A1C"/>
    <w:rsid w:val="64B139F8"/>
    <w:rsid w:val="6D88699C"/>
    <w:rsid w:val="7FA1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ody Text First Indent"/>
    <w:basedOn w:val="2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2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