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173DFF">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0" w:firstLineChars="0"/>
        <w:jc w:val="center"/>
        <w:textAlignment w:val="auto"/>
        <w:outlineLvl w:val="9"/>
        <w:rPr>
          <w:rFonts w:hint="eastAsia" w:ascii="楷体_GB2312" w:hAnsi="楷体_GB2312" w:eastAsia="楷体_GB2312" w:cs="楷体_GB2312"/>
          <w:b w:val="0"/>
          <w:bCs/>
          <w:i w:val="0"/>
          <w:snapToGrid/>
          <w:color w:val="0F1115"/>
          <w:sz w:val="32"/>
          <w:szCs w:val="32"/>
          <w:shd w:val="clear" w:color="auto" w:fill="FFFFFF"/>
          <w:lang w:val="en-US" w:eastAsia="zh-CN"/>
        </w:rPr>
      </w:pPr>
      <w:r>
        <w:rPr>
          <w:rFonts w:hint="eastAsia" w:ascii="方正小标宋简体" w:hAnsi="方正小标宋简体" w:eastAsia="方正小标宋简体" w:cs="方正小标宋简体"/>
          <w:b w:val="0"/>
          <w:bCs/>
          <w:i w:val="0"/>
          <w:snapToGrid/>
          <w:color w:val="0F1115"/>
          <w:sz w:val="44"/>
          <w:szCs w:val="44"/>
          <w:shd w:val="clear" w:color="auto" w:fill="FFFFFF"/>
        </w:rPr>
        <w:t>建安区</w:t>
      </w:r>
      <w:r>
        <w:rPr>
          <w:rFonts w:hint="eastAsia" w:ascii="方正小标宋简体" w:hAnsi="方正小标宋简体" w:eastAsia="方正小标宋简体" w:cs="方正小标宋简体"/>
          <w:b w:val="0"/>
          <w:bCs/>
          <w:i w:val="0"/>
          <w:snapToGrid/>
          <w:color w:val="0F1115"/>
          <w:sz w:val="44"/>
          <w:szCs w:val="44"/>
          <w:shd w:val="clear" w:color="auto" w:fill="FFFFFF"/>
          <w:lang w:val="en-US" w:eastAsia="zh-CN"/>
        </w:rPr>
        <w:t>人社局</w:t>
      </w:r>
    </w:p>
    <w:p w14:paraId="75AD919F">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i w:val="0"/>
          <w:snapToGrid/>
          <w:color w:val="0F1115"/>
          <w:sz w:val="44"/>
          <w:szCs w:val="44"/>
          <w:shd w:val="clear" w:color="auto" w:fill="FFFFFF"/>
        </w:rPr>
      </w:pPr>
      <w:r>
        <w:rPr>
          <w:rFonts w:hint="eastAsia" w:ascii="方正小标宋简体" w:hAnsi="方正小标宋简体" w:eastAsia="方正小标宋简体" w:cs="方正小标宋简体"/>
          <w:b w:val="0"/>
          <w:bCs/>
          <w:i w:val="0"/>
          <w:snapToGrid/>
          <w:color w:val="0F1115"/>
          <w:sz w:val="44"/>
          <w:szCs w:val="44"/>
          <w:shd w:val="clear" w:color="auto" w:fill="FFFFFF"/>
        </w:rPr>
        <w:t>关于2025年法治政府建设情况的报告</w:t>
      </w:r>
    </w:p>
    <w:p w14:paraId="492DA4B6">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0" w:firstLineChars="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p>
    <w:p w14:paraId="73BF08F5">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仿宋_GB2312" w:hAnsi="仿宋_GB2312" w:eastAsia="仿宋_GB2312" w:cs="仿宋_GB2312"/>
          <w:b w:val="0"/>
          <w:i w:val="0"/>
          <w:snapToGrid/>
          <w:color w:val="0F1115"/>
          <w:sz w:val="32"/>
          <w:szCs w:val="32"/>
          <w:shd w:val="clear" w:color="auto" w:fill="FFFFFF"/>
          <w:lang w:val="en-US" w:eastAsia="zh-CN"/>
        </w:rPr>
        <w:t>根据工作要求，现将2025年</w:t>
      </w:r>
      <w:bookmarkStart w:id="0" w:name="_GoBack"/>
      <w:bookmarkEnd w:id="0"/>
      <w:r>
        <w:rPr>
          <w:rFonts w:hint="eastAsia" w:ascii="仿宋_GB2312" w:hAnsi="仿宋_GB2312" w:eastAsia="仿宋_GB2312" w:cs="仿宋_GB2312"/>
          <w:b w:val="0"/>
          <w:i w:val="0"/>
          <w:snapToGrid/>
          <w:color w:val="0F1115"/>
          <w:sz w:val="32"/>
          <w:szCs w:val="32"/>
          <w:shd w:val="clear" w:color="auto" w:fill="FFFFFF"/>
          <w:lang w:val="en-US" w:eastAsia="zh-CN"/>
        </w:rPr>
        <w:t>法治政府建设情况报告如下：</w:t>
      </w:r>
    </w:p>
    <w:p w14:paraId="62C6A2C9">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黑体" w:hAnsi="黑体" w:eastAsia="黑体" w:cs="黑体"/>
          <w:b w:val="0"/>
          <w:bCs/>
          <w:i w:val="0"/>
          <w:snapToGrid/>
          <w:color w:val="0F1115"/>
          <w:sz w:val="32"/>
          <w:szCs w:val="32"/>
          <w:shd w:val="clear" w:color="auto" w:fill="FFFFFF"/>
        </w:rPr>
      </w:pPr>
      <w:r>
        <w:rPr>
          <w:rFonts w:hint="eastAsia" w:ascii="黑体" w:hAnsi="黑体" w:eastAsia="黑体" w:cs="黑体"/>
          <w:b w:val="0"/>
          <w:bCs/>
          <w:i w:val="0"/>
          <w:snapToGrid/>
          <w:color w:val="0F1115"/>
          <w:sz w:val="32"/>
          <w:szCs w:val="32"/>
          <w:shd w:val="clear" w:color="auto" w:fill="FFFFFF"/>
          <w:lang w:val="en-US" w:eastAsia="zh-CN"/>
        </w:rPr>
        <w:t>一、</w:t>
      </w:r>
      <w:r>
        <w:rPr>
          <w:rFonts w:hint="eastAsia" w:ascii="黑体" w:hAnsi="黑体" w:eastAsia="黑体" w:cs="黑体"/>
          <w:b w:val="0"/>
          <w:bCs/>
          <w:i w:val="0"/>
          <w:snapToGrid/>
          <w:color w:val="0F1115"/>
          <w:sz w:val="32"/>
          <w:szCs w:val="32"/>
          <w:shd w:val="clear" w:color="auto" w:fill="FFFFFF"/>
          <w:lang w:eastAsia="zh-CN"/>
        </w:rPr>
        <w:t>工作开展</w:t>
      </w:r>
      <w:r>
        <w:rPr>
          <w:rFonts w:hint="eastAsia" w:ascii="黑体" w:hAnsi="黑体" w:eastAsia="黑体" w:cs="黑体"/>
          <w:b w:val="0"/>
          <w:bCs/>
          <w:i w:val="0"/>
          <w:snapToGrid/>
          <w:color w:val="0F1115"/>
          <w:sz w:val="32"/>
          <w:szCs w:val="32"/>
          <w:shd w:val="clear" w:color="auto" w:fill="FFFFFF"/>
        </w:rPr>
        <w:t>情况</w:t>
      </w:r>
    </w:p>
    <w:p w14:paraId="383452EF">
      <w:pPr>
        <w:keepNext w:val="0"/>
        <w:keepLines w:val="0"/>
        <w:pageBreakBefore w:val="0"/>
        <w:widowControl w:val="0"/>
        <w:numPr>
          <w:ilvl w:val="0"/>
          <w:numId w:val="1"/>
        </w:numPr>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楷体_GB2312" w:hAnsi="楷体_GB2312" w:eastAsia="楷体_GB2312" w:cs="楷体_GB2312"/>
          <w:b w:val="0"/>
          <w:bCs/>
          <w:i w:val="0"/>
          <w:snapToGrid/>
          <w:color w:val="0F1115"/>
          <w:sz w:val="32"/>
          <w:szCs w:val="32"/>
          <w:shd w:val="clear" w:color="auto" w:fill="FFFFFF"/>
        </w:rPr>
        <w:t>坚持思想领航，在学懂弄通做实习近平法治思想上持续用力。</w:t>
      </w:r>
      <w:r>
        <w:rPr>
          <w:rFonts w:hint="eastAsia" w:ascii="仿宋_GB2312" w:hAnsi="仿宋_GB2312" w:eastAsia="仿宋_GB2312" w:cs="仿宋_GB2312"/>
          <w:b w:val="0"/>
          <w:i w:val="0"/>
          <w:snapToGrid/>
          <w:color w:val="0F1115"/>
          <w:sz w:val="32"/>
          <w:szCs w:val="32"/>
          <w:shd w:val="clear" w:color="auto" w:fill="FFFFFF"/>
          <w:lang w:eastAsia="zh-CN"/>
        </w:rPr>
        <w:t>我局坚持</w:t>
      </w:r>
      <w:r>
        <w:rPr>
          <w:rFonts w:hint="eastAsia" w:ascii="仿宋_GB2312" w:hAnsi="仿宋_GB2312" w:eastAsia="仿宋_GB2312" w:cs="仿宋_GB2312"/>
          <w:b w:val="0"/>
          <w:i w:val="0"/>
          <w:snapToGrid/>
          <w:color w:val="0F1115"/>
          <w:sz w:val="32"/>
          <w:szCs w:val="32"/>
          <w:shd w:val="clear" w:color="auto" w:fill="FFFFFF"/>
        </w:rPr>
        <w:t>将学习贯彻习近平法治思想作为首要政治任务和法治建设的根本遵循。</w:t>
      </w:r>
    </w:p>
    <w:p w14:paraId="65BE6FD5">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right="0" w:rightChars="0" w:firstLine="643"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仿宋_GB2312" w:hAnsi="仿宋_GB2312" w:eastAsia="仿宋_GB2312" w:cs="仿宋_GB2312"/>
          <w:b/>
          <w:bCs/>
          <w:i w:val="0"/>
          <w:snapToGrid/>
          <w:color w:val="0F1115"/>
          <w:sz w:val="32"/>
          <w:szCs w:val="32"/>
          <w:shd w:val="clear" w:color="auto" w:fill="FFFFFF"/>
          <w:lang w:val="en-US" w:eastAsia="zh-CN"/>
        </w:rPr>
        <w:t>1.</w:t>
      </w:r>
      <w:r>
        <w:rPr>
          <w:rFonts w:hint="eastAsia" w:ascii="仿宋_GB2312" w:hAnsi="仿宋_GB2312" w:eastAsia="仿宋_GB2312" w:cs="仿宋_GB2312"/>
          <w:b/>
          <w:bCs/>
          <w:i w:val="0"/>
          <w:snapToGrid/>
          <w:color w:val="0F1115"/>
          <w:sz w:val="32"/>
          <w:szCs w:val="32"/>
          <w:shd w:val="clear" w:color="auto" w:fill="FFFFFF"/>
          <w:lang w:eastAsia="zh-CN"/>
        </w:rPr>
        <w:t>组织</w:t>
      </w:r>
      <w:r>
        <w:rPr>
          <w:rFonts w:hint="eastAsia" w:ascii="仿宋_GB2312" w:hAnsi="仿宋_GB2312" w:eastAsia="仿宋_GB2312" w:cs="仿宋_GB2312"/>
          <w:b/>
          <w:bCs/>
          <w:i w:val="0"/>
          <w:snapToGrid/>
          <w:color w:val="0F1115"/>
          <w:sz w:val="32"/>
          <w:szCs w:val="32"/>
          <w:shd w:val="clear" w:color="auto" w:fill="FFFFFF"/>
        </w:rPr>
        <w:t>深学。</w:t>
      </w:r>
      <w:r>
        <w:rPr>
          <w:rFonts w:hint="eastAsia" w:ascii="仿宋_GB2312" w:hAnsi="仿宋_GB2312" w:eastAsia="仿宋_GB2312" w:cs="仿宋_GB2312"/>
          <w:b w:val="0"/>
          <w:i w:val="0"/>
          <w:snapToGrid/>
          <w:color w:val="0F1115"/>
          <w:sz w:val="32"/>
          <w:szCs w:val="32"/>
          <w:shd w:val="clear" w:color="auto" w:fill="FFFFFF"/>
        </w:rPr>
        <w:t>坚持先学一步、学深一层，通过局党组理论学习中心组学习、专题研讨、个人自学等方式，系统学习《习近平法治思想学习纲要》及重要论述，深刻领会其核心要义、精神实质、丰富内涵和实践要求，特别是关于依法保障人民权益、促进社会公平正义等重要指示精神，努力把握蕴含其中的立场观点方法。</w:t>
      </w:r>
      <w:r>
        <w:rPr>
          <w:rFonts w:hint="eastAsia" w:ascii="仿宋_GB2312" w:hAnsi="仿宋_GB2312" w:eastAsia="仿宋_GB2312" w:cs="仿宋_GB2312"/>
          <w:b w:val="0"/>
          <w:i w:val="0"/>
          <w:snapToGrid/>
          <w:color w:val="0F1115"/>
          <w:sz w:val="32"/>
          <w:szCs w:val="32"/>
          <w:shd w:val="clear" w:color="auto" w:fill="FFFFFF"/>
          <w:lang w:eastAsia="zh-CN"/>
        </w:rPr>
        <w:t>组织</w:t>
      </w:r>
      <w:r>
        <w:rPr>
          <w:rFonts w:hint="eastAsia" w:ascii="仿宋_GB2312" w:hAnsi="仿宋_GB2312" w:eastAsia="仿宋_GB2312" w:cs="仿宋_GB2312"/>
          <w:b w:val="0"/>
          <w:i w:val="0"/>
          <w:snapToGrid/>
          <w:color w:val="0F1115"/>
          <w:sz w:val="32"/>
          <w:szCs w:val="32"/>
          <w:shd w:val="clear" w:color="auto" w:fill="FFFFFF"/>
        </w:rPr>
        <w:t>党组理论学习中心组专题法治学习</w:t>
      </w:r>
      <w:r>
        <w:rPr>
          <w:rFonts w:hint="eastAsia" w:ascii="仿宋_GB2312" w:hAnsi="仿宋_GB2312" w:eastAsia="仿宋_GB2312" w:cs="仿宋_GB2312"/>
          <w:b w:val="0"/>
          <w:i w:val="0"/>
          <w:snapToGrid/>
          <w:color w:val="0F1115"/>
          <w:sz w:val="32"/>
          <w:szCs w:val="32"/>
          <w:shd w:val="clear" w:color="auto" w:fill="FFFFFF"/>
          <w:lang w:val="en-US" w:eastAsia="zh-CN"/>
        </w:rPr>
        <w:t>2</w:t>
      </w:r>
      <w:r>
        <w:rPr>
          <w:rFonts w:hint="eastAsia" w:ascii="仿宋_GB2312" w:hAnsi="仿宋_GB2312" w:eastAsia="仿宋_GB2312" w:cs="仿宋_GB2312"/>
          <w:b w:val="0"/>
          <w:i w:val="0"/>
          <w:snapToGrid/>
          <w:color w:val="0F1115"/>
          <w:sz w:val="32"/>
          <w:szCs w:val="32"/>
          <w:shd w:val="clear" w:color="auto" w:fill="FFFFFF"/>
        </w:rPr>
        <w:t>次</w:t>
      </w:r>
      <w:r>
        <w:rPr>
          <w:rFonts w:hint="eastAsia" w:ascii="仿宋_GB2312" w:hAnsi="仿宋_GB2312" w:eastAsia="仿宋_GB2312" w:cs="仿宋_GB2312"/>
          <w:b w:val="0"/>
          <w:i w:val="0"/>
          <w:snapToGrid/>
          <w:color w:val="0F1115"/>
          <w:sz w:val="32"/>
          <w:szCs w:val="32"/>
          <w:shd w:val="clear" w:color="auto" w:fill="FFFFFF"/>
          <w:lang w:eastAsia="zh-CN"/>
        </w:rPr>
        <w:t>，</w:t>
      </w:r>
      <w:r>
        <w:rPr>
          <w:rFonts w:hint="eastAsia" w:ascii="仿宋_GB2312" w:hAnsi="仿宋_GB2312" w:eastAsia="仿宋_GB2312" w:cs="仿宋_GB2312"/>
          <w:b w:val="0"/>
          <w:i w:val="0"/>
          <w:snapToGrid/>
          <w:color w:val="0F1115"/>
          <w:sz w:val="32"/>
          <w:szCs w:val="32"/>
          <w:shd w:val="clear" w:color="auto" w:fill="FFFFFF"/>
          <w:lang w:val="en-US" w:eastAsia="zh-CN"/>
        </w:rPr>
        <w:t>交流研讨1次</w:t>
      </w:r>
      <w:r>
        <w:rPr>
          <w:rFonts w:hint="eastAsia" w:ascii="仿宋_GB2312" w:hAnsi="仿宋_GB2312" w:eastAsia="仿宋_GB2312" w:cs="仿宋_GB2312"/>
          <w:b w:val="0"/>
          <w:i w:val="0"/>
          <w:snapToGrid/>
          <w:color w:val="0F1115"/>
          <w:sz w:val="32"/>
          <w:szCs w:val="32"/>
          <w:shd w:val="clear" w:color="auto" w:fill="FFFFFF"/>
        </w:rPr>
        <w:t>。</w:t>
      </w:r>
    </w:p>
    <w:p w14:paraId="1EB64BFD">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right="0" w:rightChars="0" w:firstLine="643"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仿宋_GB2312" w:hAnsi="仿宋_GB2312" w:eastAsia="仿宋_GB2312" w:cs="仿宋_GB2312"/>
          <w:b/>
          <w:bCs/>
          <w:i w:val="0"/>
          <w:snapToGrid/>
          <w:color w:val="0F1115"/>
          <w:sz w:val="32"/>
          <w:szCs w:val="32"/>
          <w:shd w:val="clear" w:color="auto" w:fill="FFFFFF"/>
          <w:lang w:val="en-US" w:eastAsia="zh-CN"/>
        </w:rPr>
        <w:t>2.</w:t>
      </w:r>
      <w:r>
        <w:rPr>
          <w:rFonts w:hint="eastAsia" w:ascii="仿宋_GB2312" w:hAnsi="仿宋_GB2312" w:eastAsia="仿宋_GB2312" w:cs="仿宋_GB2312"/>
          <w:b/>
          <w:bCs/>
          <w:i w:val="0"/>
          <w:snapToGrid/>
          <w:color w:val="0F1115"/>
          <w:sz w:val="32"/>
          <w:szCs w:val="32"/>
          <w:shd w:val="clear" w:color="auto" w:fill="FFFFFF"/>
        </w:rPr>
        <w:t>推动系统研学。</w:t>
      </w:r>
      <w:r>
        <w:rPr>
          <w:rFonts w:hint="eastAsia" w:ascii="仿宋_GB2312" w:hAnsi="仿宋_GB2312" w:eastAsia="仿宋_GB2312" w:cs="仿宋_GB2312"/>
          <w:b w:val="0"/>
          <w:i w:val="0"/>
          <w:snapToGrid/>
          <w:color w:val="0F1115"/>
          <w:sz w:val="32"/>
          <w:szCs w:val="32"/>
          <w:shd w:val="clear" w:color="auto" w:fill="FFFFFF"/>
        </w:rPr>
        <w:t>将习近平法治思想作为全局干部教育培训的必修课，纳入“人社</w:t>
      </w:r>
      <w:r>
        <w:rPr>
          <w:rFonts w:hint="eastAsia" w:ascii="仿宋_GB2312" w:hAnsi="仿宋_GB2312" w:eastAsia="仿宋_GB2312" w:cs="仿宋_GB2312"/>
          <w:b w:val="0"/>
          <w:i w:val="0"/>
          <w:snapToGrid/>
          <w:color w:val="0F1115"/>
          <w:sz w:val="32"/>
          <w:szCs w:val="32"/>
          <w:shd w:val="clear" w:color="auto" w:fill="FFFFFF"/>
          <w:lang w:val="en-US" w:eastAsia="zh-CN"/>
        </w:rPr>
        <w:t>大练兵</w:t>
      </w:r>
      <w:r>
        <w:rPr>
          <w:rFonts w:hint="eastAsia" w:ascii="仿宋_GB2312" w:hAnsi="仿宋_GB2312" w:eastAsia="仿宋_GB2312" w:cs="仿宋_GB2312"/>
          <w:b w:val="0"/>
          <w:i w:val="0"/>
          <w:snapToGrid/>
          <w:color w:val="0F1115"/>
          <w:sz w:val="32"/>
          <w:szCs w:val="32"/>
          <w:shd w:val="clear" w:color="auto" w:fill="FFFFFF"/>
        </w:rPr>
        <w:t>”、</w:t>
      </w:r>
      <w:r>
        <w:rPr>
          <w:rFonts w:hint="eastAsia" w:ascii="仿宋_GB2312" w:hAnsi="仿宋_GB2312" w:eastAsia="仿宋_GB2312" w:cs="仿宋_GB2312"/>
          <w:b w:val="0"/>
          <w:i w:val="0"/>
          <w:snapToGrid/>
          <w:color w:val="0F1115"/>
          <w:sz w:val="32"/>
          <w:szCs w:val="32"/>
          <w:shd w:val="clear" w:color="auto" w:fill="FFFFFF"/>
          <w:lang w:val="en-US" w:eastAsia="zh-CN"/>
        </w:rPr>
        <w:t>干部教育</w:t>
      </w:r>
      <w:r>
        <w:rPr>
          <w:rFonts w:hint="eastAsia" w:ascii="仿宋_GB2312" w:hAnsi="仿宋_GB2312" w:eastAsia="仿宋_GB2312" w:cs="仿宋_GB2312"/>
          <w:b w:val="0"/>
          <w:i w:val="0"/>
          <w:snapToGrid/>
          <w:color w:val="0F1115"/>
          <w:sz w:val="32"/>
          <w:szCs w:val="32"/>
          <w:shd w:val="clear" w:color="auto" w:fill="FFFFFF"/>
        </w:rPr>
        <w:t>培训、的重要内容。邀请区</w:t>
      </w:r>
      <w:r>
        <w:rPr>
          <w:rFonts w:hint="eastAsia" w:ascii="仿宋_GB2312" w:hAnsi="仿宋_GB2312" w:eastAsia="仿宋_GB2312" w:cs="仿宋_GB2312"/>
          <w:b w:val="0"/>
          <w:i w:val="0"/>
          <w:snapToGrid/>
          <w:color w:val="0F1115"/>
          <w:sz w:val="32"/>
          <w:szCs w:val="32"/>
          <w:shd w:val="clear" w:color="auto" w:fill="FFFFFF"/>
          <w:lang w:val="en-US" w:eastAsia="zh-CN"/>
        </w:rPr>
        <w:t>司法局法治负责人</w:t>
      </w:r>
      <w:r>
        <w:rPr>
          <w:rFonts w:hint="eastAsia" w:ascii="仿宋_GB2312" w:hAnsi="仿宋_GB2312" w:eastAsia="仿宋_GB2312" w:cs="仿宋_GB2312"/>
          <w:b w:val="0"/>
          <w:i w:val="0"/>
          <w:snapToGrid/>
          <w:color w:val="0F1115"/>
          <w:sz w:val="32"/>
          <w:szCs w:val="32"/>
          <w:shd w:val="clear" w:color="auto" w:fill="FFFFFF"/>
        </w:rPr>
        <w:t>进行专题辅导</w:t>
      </w:r>
      <w:r>
        <w:rPr>
          <w:rFonts w:hint="eastAsia" w:ascii="仿宋_GB2312" w:hAnsi="仿宋_GB2312" w:eastAsia="仿宋_GB2312" w:cs="仿宋_GB2312"/>
          <w:b w:val="0"/>
          <w:i w:val="0"/>
          <w:snapToGrid/>
          <w:color w:val="0F1115"/>
          <w:sz w:val="32"/>
          <w:szCs w:val="32"/>
          <w:shd w:val="clear" w:color="auto" w:fill="FFFFFF"/>
          <w:lang w:val="en-US" w:eastAsia="zh-CN"/>
        </w:rPr>
        <w:t>1</w:t>
      </w:r>
      <w:r>
        <w:rPr>
          <w:rFonts w:hint="eastAsia" w:ascii="仿宋_GB2312" w:hAnsi="仿宋_GB2312" w:eastAsia="仿宋_GB2312" w:cs="仿宋_GB2312"/>
          <w:b w:val="0"/>
          <w:i w:val="0"/>
          <w:snapToGrid/>
          <w:color w:val="0F1115"/>
          <w:sz w:val="32"/>
          <w:szCs w:val="32"/>
          <w:shd w:val="clear" w:color="auto" w:fill="FFFFFF"/>
        </w:rPr>
        <w:t>次，组织全局干部职工参加线上法治知识测试，参考率、合格率均达100%，努力推动习近平法治思想入脑入心，转化为全体人社干部的思想自觉和行动自觉。</w:t>
      </w:r>
    </w:p>
    <w:p w14:paraId="72104456">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right="0" w:rightChars="0" w:firstLine="643"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仿宋_GB2312" w:hAnsi="仿宋_GB2312" w:eastAsia="仿宋_GB2312" w:cs="仿宋_GB2312"/>
          <w:b/>
          <w:bCs/>
          <w:i w:val="0"/>
          <w:snapToGrid/>
          <w:color w:val="0F1115"/>
          <w:sz w:val="32"/>
          <w:szCs w:val="32"/>
          <w:shd w:val="clear" w:color="auto" w:fill="FFFFFF"/>
          <w:lang w:val="en-US" w:eastAsia="zh-CN"/>
        </w:rPr>
        <w:t>3.</w:t>
      </w:r>
      <w:r>
        <w:rPr>
          <w:rFonts w:hint="eastAsia" w:ascii="仿宋_GB2312" w:hAnsi="仿宋_GB2312" w:eastAsia="仿宋_GB2312" w:cs="仿宋_GB2312"/>
          <w:b/>
          <w:bCs/>
          <w:i w:val="0"/>
          <w:snapToGrid/>
          <w:color w:val="0F1115"/>
          <w:sz w:val="32"/>
          <w:szCs w:val="32"/>
          <w:shd w:val="clear" w:color="auto" w:fill="FFFFFF"/>
        </w:rPr>
        <w:t>结合实践悟学。</w:t>
      </w:r>
      <w:r>
        <w:rPr>
          <w:rFonts w:hint="eastAsia" w:ascii="仿宋_GB2312" w:hAnsi="仿宋_GB2312" w:eastAsia="仿宋_GB2312" w:cs="仿宋_GB2312"/>
          <w:b w:val="0"/>
          <w:i w:val="0"/>
          <w:snapToGrid/>
          <w:color w:val="0F1115"/>
          <w:sz w:val="32"/>
          <w:szCs w:val="32"/>
          <w:shd w:val="clear" w:color="auto" w:fill="FFFFFF"/>
        </w:rPr>
        <w:t>坚持学思用贯通、知信行统一，自觉运用习近平法治思想指导解决人社领域实际问题。例如，在处理劳动者的群体性欠薪案件时，组织相关股室</w:t>
      </w:r>
      <w:r>
        <w:rPr>
          <w:rFonts w:hint="eastAsia" w:ascii="仿宋_GB2312" w:hAnsi="仿宋_GB2312" w:eastAsia="仿宋_GB2312" w:cs="仿宋_GB2312"/>
          <w:b w:val="0"/>
          <w:i w:val="0"/>
          <w:snapToGrid/>
          <w:color w:val="0F1115"/>
          <w:sz w:val="32"/>
          <w:szCs w:val="32"/>
          <w:shd w:val="clear" w:color="auto" w:fill="FFFFFF"/>
          <w:lang w:val="en-US" w:eastAsia="zh-CN"/>
        </w:rPr>
        <w:t>进行研判，要求工作人员换位思考，</w:t>
      </w:r>
      <w:r>
        <w:rPr>
          <w:rFonts w:hint="eastAsia" w:ascii="仿宋_GB2312" w:hAnsi="仿宋_GB2312" w:eastAsia="仿宋_GB2312" w:cs="仿宋_GB2312"/>
          <w:b w:val="0"/>
          <w:i w:val="0"/>
          <w:snapToGrid/>
          <w:color w:val="0F1115"/>
          <w:sz w:val="32"/>
          <w:szCs w:val="32"/>
          <w:shd w:val="clear" w:color="auto" w:fill="FFFFFF"/>
        </w:rPr>
        <w:t>反复</w:t>
      </w:r>
      <w:r>
        <w:rPr>
          <w:rFonts w:hint="eastAsia" w:ascii="仿宋_GB2312" w:hAnsi="仿宋_GB2312" w:eastAsia="仿宋_GB2312" w:cs="仿宋_GB2312"/>
          <w:b w:val="0"/>
          <w:i w:val="0"/>
          <w:snapToGrid/>
          <w:color w:val="0F1115"/>
          <w:sz w:val="32"/>
          <w:szCs w:val="32"/>
          <w:shd w:val="clear" w:color="auto" w:fill="FFFFFF"/>
          <w:lang w:val="en-US" w:eastAsia="zh-CN"/>
        </w:rPr>
        <w:t>强调习近平总书记</w:t>
      </w:r>
      <w:r>
        <w:rPr>
          <w:rFonts w:hint="eastAsia" w:ascii="仿宋_GB2312" w:hAnsi="仿宋_GB2312" w:eastAsia="仿宋_GB2312" w:cs="仿宋_GB2312"/>
          <w:b w:val="0"/>
          <w:i w:val="0"/>
          <w:snapToGrid/>
          <w:color w:val="0F1115"/>
          <w:sz w:val="32"/>
          <w:szCs w:val="32"/>
          <w:shd w:val="clear" w:color="auto" w:fill="FFFFFF"/>
        </w:rPr>
        <w:t>关于“努力让人民群众在每一个司法案件中感受到公平正义”的论述，坚持法治思维和法治方式，既严格依照《保障农民工工资支付条例》等法律法规调处，又注重调解优先、多方联动，</w:t>
      </w:r>
      <w:r>
        <w:rPr>
          <w:rFonts w:hint="eastAsia" w:ascii="仿宋_GB2312" w:hAnsi="仿宋_GB2312" w:eastAsia="仿宋_GB2312" w:cs="仿宋_GB2312"/>
          <w:b w:val="0"/>
          <w:i w:val="0"/>
          <w:snapToGrid/>
          <w:color w:val="0F1115"/>
          <w:sz w:val="32"/>
          <w:szCs w:val="32"/>
          <w:shd w:val="clear" w:color="auto" w:fill="FFFFFF"/>
          <w:lang w:val="en-US" w:eastAsia="zh-CN"/>
        </w:rPr>
        <w:t>促使</w:t>
      </w:r>
      <w:r>
        <w:rPr>
          <w:rFonts w:hint="eastAsia" w:ascii="仿宋_GB2312" w:hAnsi="仿宋_GB2312" w:eastAsia="仿宋_GB2312" w:cs="仿宋_GB2312"/>
          <w:b w:val="0"/>
          <w:i w:val="0"/>
          <w:snapToGrid/>
          <w:color w:val="0F1115"/>
          <w:sz w:val="32"/>
          <w:szCs w:val="32"/>
          <w:shd w:val="clear" w:color="auto" w:fill="FFFFFF"/>
        </w:rPr>
        <w:t>工资全部支付到位，实现了法律效果与社会效果的统一。</w:t>
      </w:r>
    </w:p>
    <w:p w14:paraId="753B2BB3">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楷体_GB2312" w:hAnsi="楷体_GB2312" w:eastAsia="楷体_GB2312" w:cs="楷体_GB2312"/>
          <w:b w:val="0"/>
          <w:bCs/>
          <w:i w:val="0"/>
          <w:snapToGrid/>
          <w:color w:val="0F1115"/>
          <w:sz w:val="32"/>
          <w:szCs w:val="32"/>
          <w:shd w:val="clear" w:color="auto" w:fill="FFFFFF"/>
        </w:rPr>
        <w:t>（二）坚持履职尽责，在推进法治人社建设重点任务上精准发力。</w:t>
      </w:r>
      <w:r>
        <w:rPr>
          <w:rFonts w:hint="eastAsia" w:ascii="仿宋_GB2312" w:hAnsi="仿宋_GB2312" w:eastAsia="仿宋_GB2312" w:cs="仿宋_GB2312"/>
          <w:b w:val="0"/>
          <w:i w:val="0"/>
          <w:snapToGrid/>
          <w:color w:val="0F1115"/>
          <w:sz w:val="32"/>
          <w:szCs w:val="32"/>
          <w:shd w:val="clear" w:color="auto" w:fill="FFFFFF"/>
        </w:rPr>
        <w:t>我</w:t>
      </w:r>
      <w:r>
        <w:rPr>
          <w:rFonts w:hint="eastAsia" w:ascii="仿宋_GB2312" w:hAnsi="仿宋_GB2312" w:eastAsia="仿宋_GB2312" w:cs="仿宋_GB2312"/>
          <w:b w:val="0"/>
          <w:i w:val="0"/>
          <w:snapToGrid/>
          <w:color w:val="0F1115"/>
          <w:sz w:val="32"/>
          <w:szCs w:val="32"/>
          <w:shd w:val="clear" w:color="auto" w:fill="FFFFFF"/>
          <w:lang w:eastAsia="zh-CN"/>
        </w:rPr>
        <w:t>局</w:t>
      </w:r>
      <w:r>
        <w:rPr>
          <w:rFonts w:hint="eastAsia" w:ascii="仿宋_GB2312" w:hAnsi="仿宋_GB2312" w:eastAsia="仿宋_GB2312" w:cs="仿宋_GB2312"/>
          <w:b w:val="0"/>
          <w:i w:val="0"/>
          <w:snapToGrid/>
          <w:color w:val="0F1115"/>
          <w:sz w:val="32"/>
          <w:szCs w:val="32"/>
          <w:shd w:val="clear" w:color="auto" w:fill="FFFFFF"/>
        </w:rPr>
        <w:t>切实担负起推进法治建设责任，将法治要求贯穿于人社工作全过程各方面。</w:t>
      </w:r>
    </w:p>
    <w:p w14:paraId="1FEABC60">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仿宋_GB2312" w:hAnsi="仿宋_GB2312" w:eastAsia="仿宋_GB2312" w:cs="仿宋_GB2312"/>
          <w:b/>
          <w:i w:val="0"/>
          <w:snapToGrid/>
          <w:color w:val="0F1115"/>
          <w:sz w:val="32"/>
          <w:szCs w:val="32"/>
          <w:shd w:val="clear" w:color="auto" w:fill="FFFFFF"/>
          <w:lang w:val="en-US" w:eastAsia="zh-CN"/>
        </w:rPr>
        <w:t>1.提升</w:t>
      </w:r>
      <w:r>
        <w:rPr>
          <w:rFonts w:hint="eastAsia" w:ascii="仿宋_GB2312" w:hAnsi="仿宋_GB2312" w:eastAsia="仿宋_GB2312" w:cs="仿宋_GB2312"/>
          <w:b/>
          <w:i w:val="0"/>
          <w:snapToGrid/>
          <w:color w:val="0F1115"/>
          <w:sz w:val="32"/>
          <w:szCs w:val="32"/>
          <w:shd w:val="clear" w:color="auto" w:fill="FFFFFF"/>
        </w:rPr>
        <w:t>依法行政决策</w:t>
      </w:r>
      <w:r>
        <w:rPr>
          <w:rFonts w:hint="eastAsia" w:ascii="仿宋_GB2312" w:hAnsi="仿宋_GB2312" w:eastAsia="仿宋_GB2312" w:cs="仿宋_GB2312"/>
          <w:b/>
          <w:i w:val="0"/>
          <w:snapToGrid/>
          <w:color w:val="0F1115"/>
          <w:sz w:val="32"/>
          <w:szCs w:val="32"/>
          <w:shd w:val="clear" w:color="auto" w:fill="FFFFFF"/>
          <w:lang w:val="en-US" w:eastAsia="zh-CN"/>
        </w:rPr>
        <w:t>水平</w:t>
      </w:r>
      <w:r>
        <w:rPr>
          <w:rFonts w:hint="eastAsia" w:ascii="仿宋_GB2312" w:hAnsi="仿宋_GB2312" w:eastAsia="仿宋_GB2312" w:cs="仿宋_GB2312"/>
          <w:b/>
          <w:i w:val="0"/>
          <w:snapToGrid/>
          <w:color w:val="0F1115"/>
          <w:sz w:val="32"/>
          <w:szCs w:val="32"/>
          <w:shd w:val="clear" w:color="auto" w:fill="FFFFFF"/>
        </w:rPr>
        <w:t>。</w:t>
      </w:r>
      <w:r>
        <w:rPr>
          <w:rFonts w:hint="eastAsia" w:ascii="仿宋_GB2312" w:hAnsi="仿宋_GB2312" w:eastAsia="仿宋_GB2312" w:cs="仿宋_GB2312"/>
          <w:b w:val="0"/>
          <w:bCs/>
          <w:i w:val="0"/>
          <w:snapToGrid/>
          <w:color w:val="0F1115"/>
          <w:sz w:val="32"/>
          <w:szCs w:val="32"/>
          <w:shd w:val="clear" w:color="auto" w:fill="FFFFFF"/>
          <w:lang w:val="en-US" w:eastAsia="zh-CN"/>
        </w:rPr>
        <w:t>积极</w:t>
      </w:r>
      <w:r>
        <w:rPr>
          <w:rFonts w:hint="eastAsia" w:ascii="仿宋_GB2312" w:hAnsi="仿宋_GB2312" w:eastAsia="仿宋_GB2312" w:cs="仿宋_GB2312"/>
          <w:b w:val="0"/>
          <w:bCs/>
          <w:i w:val="0"/>
          <w:snapToGrid/>
          <w:color w:val="0F1115"/>
          <w:sz w:val="32"/>
          <w:szCs w:val="32"/>
          <w:shd w:val="clear" w:color="auto" w:fill="FFFFFF"/>
        </w:rPr>
        <w:t>聘请法律顾问，将法律顾问工作贯彻于行政决策全过程，形成事先防范法律风险、事中严格依法办事、事后落实法律责任的部门法律事务运行机制</w:t>
      </w:r>
      <w:r>
        <w:rPr>
          <w:rFonts w:hint="eastAsia" w:ascii="仿宋_GB2312" w:hAnsi="仿宋_GB2312" w:eastAsia="仿宋_GB2312" w:cs="仿宋_GB2312"/>
          <w:b w:val="0"/>
          <w:bCs/>
          <w:i w:val="0"/>
          <w:snapToGrid/>
          <w:color w:val="0F1115"/>
          <w:sz w:val="32"/>
          <w:szCs w:val="32"/>
          <w:shd w:val="clear" w:color="auto" w:fill="FFFFFF"/>
          <w:lang w:eastAsia="zh-CN"/>
        </w:rPr>
        <w:t>。</w:t>
      </w:r>
      <w:r>
        <w:rPr>
          <w:rFonts w:hint="eastAsia" w:ascii="仿宋_GB2312" w:hAnsi="仿宋_GB2312" w:eastAsia="仿宋_GB2312" w:cs="仿宋_GB2312"/>
          <w:b w:val="0"/>
          <w:bCs/>
          <w:i w:val="0"/>
          <w:snapToGrid/>
          <w:color w:val="0F1115"/>
          <w:sz w:val="32"/>
          <w:szCs w:val="32"/>
          <w:shd w:val="clear" w:color="auto" w:fill="FFFFFF"/>
          <w:lang w:val="en-US" w:eastAsia="zh-CN"/>
        </w:rPr>
        <w:t>同时，</w:t>
      </w:r>
      <w:r>
        <w:rPr>
          <w:rFonts w:hint="eastAsia" w:ascii="仿宋_GB2312" w:hAnsi="仿宋_GB2312" w:eastAsia="仿宋_GB2312" w:cs="仿宋_GB2312"/>
          <w:b w:val="0"/>
          <w:i w:val="0"/>
          <w:snapToGrid/>
          <w:color w:val="0F1115"/>
          <w:sz w:val="32"/>
          <w:szCs w:val="32"/>
          <w:shd w:val="clear" w:color="auto" w:fill="FFFFFF"/>
        </w:rPr>
        <w:t>严格落实《重大行政决策程序暂行条例》和局内相关制度，凡涉及重大政策制定、重大项目安排、大额资金使用等事项，均坚持公众参与、风险评估、合法性审查、集体讨论决定。在制定《</w:t>
      </w:r>
      <w:r>
        <w:rPr>
          <w:rFonts w:hint="eastAsia" w:ascii="仿宋_GB2312" w:hAnsi="仿宋_GB2312" w:eastAsia="仿宋_GB2312" w:cs="仿宋_GB2312"/>
          <w:b w:val="0"/>
          <w:i w:val="0"/>
          <w:snapToGrid/>
          <w:color w:val="0F1115"/>
          <w:sz w:val="32"/>
          <w:szCs w:val="32"/>
          <w:shd w:val="clear" w:color="auto" w:fill="FFFFFF"/>
          <w:lang w:val="en-US" w:eastAsia="zh-CN"/>
        </w:rPr>
        <w:t>技在建安</w:t>
      </w:r>
      <w:r>
        <w:rPr>
          <w:rFonts w:hint="eastAsia" w:ascii="仿宋_GB2312" w:hAnsi="仿宋_GB2312" w:eastAsia="仿宋_GB2312" w:cs="仿宋_GB2312"/>
          <w:b w:val="0"/>
          <w:bCs w:val="0"/>
          <w:i w:val="0"/>
          <w:snapToGrid/>
          <w:color w:val="0F1115"/>
          <w:sz w:val="32"/>
          <w:szCs w:val="32"/>
          <w:shd w:val="clear" w:color="auto" w:fill="FFFFFF"/>
        </w:rPr>
        <w:t>·</w:t>
      </w:r>
      <w:r>
        <w:rPr>
          <w:rFonts w:hint="eastAsia" w:ascii="仿宋_GB2312" w:hAnsi="仿宋_GB2312" w:eastAsia="仿宋_GB2312" w:cs="仿宋_GB2312"/>
          <w:b w:val="0"/>
          <w:i w:val="0"/>
          <w:snapToGrid/>
          <w:color w:val="0F1115"/>
          <w:sz w:val="32"/>
          <w:szCs w:val="32"/>
          <w:shd w:val="clear" w:color="auto" w:fill="FFFFFF"/>
          <w:lang w:val="en-US" w:eastAsia="zh-CN"/>
        </w:rPr>
        <w:t>培你就业</w:t>
      </w:r>
      <w:r>
        <w:rPr>
          <w:rFonts w:hint="eastAsia" w:ascii="仿宋_GB2312" w:hAnsi="仿宋_GB2312" w:eastAsia="仿宋_GB2312" w:cs="仿宋_GB2312"/>
          <w:b w:val="0"/>
          <w:i w:val="0"/>
          <w:snapToGrid/>
          <w:color w:val="0F1115"/>
          <w:sz w:val="32"/>
          <w:szCs w:val="32"/>
          <w:shd w:val="clear" w:color="auto" w:fill="FFFFFF"/>
        </w:rPr>
        <w:t>》</w:t>
      </w:r>
      <w:r>
        <w:rPr>
          <w:rFonts w:hint="eastAsia" w:ascii="仿宋_GB2312" w:hAnsi="仿宋_GB2312" w:eastAsia="仿宋_GB2312" w:cs="仿宋_GB2312"/>
          <w:b w:val="0"/>
          <w:i w:val="0"/>
          <w:snapToGrid/>
          <w:color w:val="0F1115"/>
          <w:sz w:val="32"/>
          <w:szCs w:val="32"/>
          <w:shd w:val="clear" w:color="auto" w:fill="FFFFFF"/>
          <w:lang w:val="en-US" w:eastAsia="zh-CN"/>
        </w:rPr>
        <w:t>实施方案</w:t>
      </w:r>
      <w:r>
        <w:rPr>
          <w:rFonts w:hint="eastAsia" w:ascii="仿宋_GB2312" w:hAnsi="仿宋_GB2312" w:eastAsia="仿宋_GB2312" w:cs="仿宋_GB2312"/>
          <w:b w:val="0"/>
          <w:i w:val="0"/>
          <w:snapToGrid/>
          <w:color w:val="0F1115"/>
          <w:sz w:val="32"/>
          <w:szCs w:val="32"/>
          <w:shd w:val="clear" w:color="auto" w:fill="FFFFFF"/>
        </w:rPr>
        <w:t>过程中，业务股室先后召开企业代表座谈会3场，书面征求相关单位意见</w:t>
      </w:r>
      <w:r>
        <w:rPr>
          <w:rFonts w:hint="eastAsia" w:ascii="仿宋_GB2312" w:hAnsi="仿宋_GB2312" w:eastAsia="仿宋_GB2312" w:cs="仿宋_GB2312"/>
          <w:b w:val="0"/>
          <w:i w:val="0"/>
          <w:snapToGrid/>
          <w:color w:val="0F1115"/>
          <w:sz w:val="32"/>
          <w:szCs w:val="32"/>
          <w:shd w:val="clear" w:color="auto" w:fill="FFFFFF"/>
          <w:lang w:val="en-US" w:eastAsia="zh-CN"/>
        </w:rPr>
        <w:t>10</w:t>
      </w:r>
      <w:r>
        <w:rPr>
          <w:rFonts w:hint="eastAsia" w:ascii="仿宋_GB2312" w:hAnsi="仿宋_GB2312" w:eastAsia="仿宋_GB2312" w:cs="仿宋_GB2312"/>
          <w:b w:val="0"/>
          <w:i w:val="0"/>
          <w:snapToGrid/>
          <w:color w:val="0F1115"/>
          <w:sz w:val="32"/>
          <w:szCs w:val="32"/>
          <w:shd w:val="clear" w:color="auto" w:fill="FFFFFF"/>
        </w:rPr>
        <w:t>余条，并</w:t>
      </w:r>
      <w:r>
        <w:rPr>
          <w:rFonts w:hint="eastAsia" w:ascii="仿宋_GB2312" w:hAnsi="仿宋_GB2312" w:eastAsia="仿宋_GB2312" w:cs="仿宋_GB2312"/>
          <w:b w:val="0"/>
          <w:i w:val="0"/>
          <w:snapToGrid/>
          <w:color w:val="0F1115"/>
          <w:sz w:val="32"/>
          <w:szCs w:val="32"/>
          <w:shd w:val="clear" w:color="auto" w:fill="FFFFFF"/>
          <w:lang w:val="en-US" w:eastAsia="zh-CN"/>
        </w:rPr>
        <w:t>提交局党组会</w:t>
      </w:r>
      <w:r>
        <w:rPr>
          <w:rFonts w:hint="eastAsia" w:ascii="仿宋_GB2312" w:hAnsi="仿宋_GB2312" w:eastAsia="仿宋_GB2312" w:cs="仿宋_GB2312"/>
          <w:b w:val="0"/>
          <w:i w:val="0"/>
          <w:snapToGrid/>
          <w:color w:val="0F1115"/>
          <w:sz w:val="32"/>
          <w:szCs w:val="32"/>
          <w:shd w:val="clear" w:color="auto" w:fill="FFFFFF"/>
        </w:rPr>
        <w:t>进行合法性审查，确保决策科学、程序正当、过程公开、责任明确。</w:t>
      </w:r>
    </w:p>
    <w:p w14:paraId="19CA08CF">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仿宋_GB2312" w:hAnsi="仿宋_GB2312" w:eastAsia="仿宋_GB2312" w:cs="仿宋_GB2312"/>
          <w:b/>
          <w:i w:val="0"/>
          <w:snapToGrid/>
          <w:color w:val="0F1115"/>
          <w:sz w:val="32"/>
          <w:szCs w:val="32"/>
          <w:shd w:val="clear" w:color="auto" w:fill="FFFFFF"/>
          <w:lang w:val="en-US" w:eastAsia="zh-CN"/>
        </w:rPr>
        <w:t>2.</w:t>
      </w:r>
      <w:r>
        <w:rPr>
          <w:rFonts w:hint="eastAsia" w:ascii="仿宋_GB2312" w:hAnsi="仿宋_GB2312" w:eastAsia="仿宋_GB2312" w:cs="仿宋_GB2312"/>
          <w:b/>
          <w:i w:val="0"/>
          <w:snapToGrid/>
          <w:color w:val="0F1115"/>
          <w:sz w:val="32"/>
          <w:szCs w:val="32"/>
          <w:shd w:val="clear" w:color="auto" w:fill="FFFFFF"/>
        </w:rPr>
        <w:t>提升行政执法效能。</w:t>
      </w:r>
      <w:r>
        <w:rPr>
          <w:rFonts w:hint="eastAsia" w:ascii="仿宋_GB2312" w:hAnsi="仿宋_GB2312" w:eastAsia="仿宋_GB2312" w:cs="仿宋_GB2312"/>
          <w:b w:val="0"/>
          <w:i w:val="0"/>
          <w:snapToGrid/>
          <w:color w:val="0F1115"/>
          <w:sz w:val="32"/>
          <w:szCs w:val="32"/>
          <w:shd w:val="clear" w:color="auto" w:fill="FFFFFF"/>
        </w:rPr>
        <w:t>聚焦根治欠薪、规范人力资源市场秩序、查处非法使用童工等群众关切领域，落实行政执法“三项制度”。</w:t>
      </w:r>
      <w:r>
        <w:rPr>
          <w:rFonts w:hint="eastAsia" w:ascii="仿宋_GB2312" w:hAnsi="仿宋_GB2312" w:eastAsia="仿宋_GB2312" w:cs="仿宋_GB2312"/>
          <w:b w:val="0"/>
          <w:bCs w:val="0"/>
          <w:i w:val="0"/>
          <w:snapToGrid/>
          <w:color w:val="0F1115"/>
          <w:sz w:val="32"/>
          <w:szCs w:val="32"/>
          <w:shd w:val="clear" w:color="auto" w:fill="FFFFFF"/>
        </w:rPr>
        <w:t>一是推动执法透明。</w:t>
      </w:r>
      <w:r>
        <w:rPr>
          <w:rFonts w:hint="eastAsia" w:ascii="仿宋_GB2312" w:hAnsi="仿宋_GB2312" w:eastAsia="仿宋_GB2312" w:cs="仿宋_GB2312"/>
          <w:b w:val="0"/>
          <w:i w:val="0"/>
          <w:snapToGrid/>
          <w:color w:val="0F1115"/>
          <w:sz w:val="32"/>
          <w:szCs w:val="32"/>
          <w:shd w:val="clear" w:color="auto" w:fill="FFFFFF"/>
        </w:rPr>
        <w:t>要求所有行政执法检查、处罚案件信息及时在</w:t>
      </w:r>
      <w:r>
        <w:rPr>
          <w:rFonts w:hint="eastAsia" w:ascii="仿宋_GB2312" w:hAnsi="仿宋_GB2312" w:eastAsia="仿宋_GB2312" w:cs="仿宋_GB2312"/>
          <w:b w:val="0"/>
          <w:i w:val="0"/>
          <w:snapToGrid/>
          <w:color w:val="0F1115"/>
          <w:sz w:val="32"/>
          <w:szCs w:val="32"/>
          <w:shd w:val="clear" w:color="auto" w:fill="FFFFFF"/>
          <w:lang w:eastAsia="zh-CN"/>
        </w:rPr>
        <w:t>“</w:t>
      </w:r>
      <w:r>
        <w:rPr>
          <w:rFonts w:hint="eastAsia" w:ascii="仿宋_GB2312" w:hAnsi="仿宋_GB2312" w:eastAsia="仿宋_GB2312" w:cs="仿宋_GB2312"/>
          <w:b w:val="0"/>
          <w:i w:val="0"/>
          <w:snapToGrid/>
          <w:color w:val="0F1115"/>
          <w:sz w:val="32"/>
          <w:szCs w:val="32"/>
          <w:shd w:val="clear" w:color="auto" w:fill="FFFFFF"/>
          <w:lang w:val="en-US" w:eastAsia="zh-CN"/>
        </w:rPr>
        <w:t>双随机、一公开</w:t>
      </w:r>
      <w:r>
        <w:rPr>
          <w:rFonts w:hint="eastAsia" w:ascii="仿宋_GB2312" w:hAnsi="仿宋_GB2312" w:eastAsia="仿宋_GB2312" w:cs="仿宋_GB2312"/>
          <w:b w:val="0"/>
          <w:i w:val="0"/>
          <w:snapToGrid/>
          <w:color w:val="0F1115"/>
          <w:sz w:val="32"/>
          <w:szCs w:val="32"/>
          <w:shd w:val="clear" w:color="auto" w:fill="FFFFFF"/>
          <w:lang w:eastAsia="zh-CN"/>
        </w:rPr>
        <w:t>”</w:t>
      </w:r>
      <w:r>
        <w:rPr>
          <w:rFonts w:hint="eastAsia" w:ascii="仿宋_GB2312" w:hAnsi="仿宋_GB2312" w:eastAsia="仿宋_GB2312" w:cs="仿宋_GB2312"/>
          <w:b w:val="0"/>
          <w:i w:val="0"/>
          <w:snapToGrid/>
          <w:color w:val="0F1115"/>
          <w:sz w:val="32"/>
          <w:szCs w:val="32"/>
          <w:shd w:val="clear" w:color="auto" w:fill="FFFFFF"/>
          <w:lang w:val="en-US" w:eastAsia="zh-CN"/>
        </w:rPr>
        <w:t>和信用建安</w:t>
      </w:r>
      <w:r>
        <w:rPr>
          <w:rFonts w:hint="eastAsia" w:ascii="仿宋_GB2312" w:hAnsi="仿宋_GB2312" w:eastAsia="仿宋_GB2312" w:cs="仿宋_GB2312"/>
          <w:b w:val="0"/>
          <w:i w:val="0"/>
          <w:snapToGrid/>
          <w:color w:val="0F1115"/>
          <w:sz w:val="32"/>
          <w:szCs w:val="32"/>
          <w:shd w:val="clear" w:color="auto" w:fill="FFFFFF"/>
        </w:rPr>
        <w:t>公示</w:t>
      </w:r>
      <w:r>
        <w:rPr>
          <w:rFonts w:hint="eastAsia" w:ascii="仿宋_GB2312" w:hAnsi="仿宋_GB2312" w:eastAsia="仿宋_GB2312" w:cs="仿宋_GB2312"/>
          <w:b w:val="0"/>
          <w:i w:val="0"/>
          <w:snapToGrid/>
          <w:color w:val="0F1115"/>
          <w:sz w:val="32"/>
          <w:szCs w:val="32"/>
          <w:shd w:val="clear" w:color="auto" w:fill="FFFFFF"/>
          <w:lang w:eastAsia="zh-CN"/>
        </w:rPr>
        <w:t>；</w:t>
      </w:r>
      <w:r>
        <w:rPr>
          <w:rFonts w:hint="eastAsia" w:ascii="仿宋_GB2312" w:hAnsi="仿宋_GB2312" w:eastAsia="仿宋_GB2312" w:cs="仿宋_GB2312"/>
          <w:b w:val="0"/>
          <w:bCs w:val="0"/>
          <w:i w:val="0"/>
          <w:snapToGrid/>
          <w:color w:val="0F1115"/>
          <w:sz w:val="32"/>
          <w:szCs w:val="32"/>
          <w:shd w:val="clear" w:color="auto" w:fill="FFFFFF"/>
        </w:rPr>
        <w:t>二是规范执法过程。</w:t>
      </w:r>
      <w:r>
        <w:rPr>
          <w:rFonts w:hint="eastAsia" w:ascii="仿宋_GB2312" w:hAnsi="仿宋_GB2312" w:eastAsia="仿宋_GB2312" w:cs="仿宋_GB2312"/>
          <w:b w:val="0"/>
          <w:i w:val="0"/>
          <w:snapToGrid/>
          <w:color w:val="0F1115"/>
          <w:sz w:val="32"/>
          <w:szCs w:val="32"/>
          <w:shd w:val="clear" w:color="auto" w:fill="FFFFFF"/>
        </w:rPr>
        <w:t>为一线执法队伍配备执法记录仪，强调执法全过程记录的重要性</w:t>
      </w:r>
      <w:r>
        <w:rPr>
          <w:rFonts w:hint="eastAsia" w:ascii="仿宋_GB2312" w:hAnsi="仿宋_GB2312" w:eastAsia="仿宋_GB2312" w:cs="仿宋_GB2312"/>
          <w:b w:val="0"/>
          <w:i w:val="0"/>
          <w:snapToGrid/>
          <w:color w:val="0F1115"/>
          <w:sz w:val="32"/>
          <w:szCs w:val="32"/>
          <w:shd w:val="clear" w:color="auto" w:fill="FFFFFF"/>
          <w:lang w:eastAsia="zh-CN"/>
        </w:rPr>
        <w:t>；</w:t>
      </w:r>
      <w:r>
        <w:rPr>
          <w:rFonts w:hint="eastAsia" w:ascii="仿宋_GB2312" w:hAnsi="仿宋_GB2312" w:eastAsia="仿宋_GB2312" w:cs="仿宋_GB2312"/>
          <w:b w:val="0"/>
          <w:i w:val="0"/>
          <w:snapToGrid/>
          <w:color w:val="0F1115"/>
          <w:sz w:val="32"/>
          <w:szCs w:val="32"/>
          <w:shd w:val="clear" w:color="auto" w:fill="FFFFFF"/>
        </w:rPr>
        <w:t>例如，在一次建筑工地检查中，执法队员通过全过程记录，清晰固定了项目总包单位未落实工资专用账户制度的证据，为后续责令整改提供了有力支撑</w:t>
      </w:r>
      <w:r>
        <w:rPr>
          <w:rFonts w:hint="eastAsia" w:ascii="仿宋_GB2312" w:hAnsi="仿宋_GB2312" w:eastAsia="仿宋_GB2312" w:cs="仿宋_GB2312"/>
          <w:b w:val="0"/>
          <w:i w:val="0"/>
          <w:snapToGrid/>
          <w:color w:val="0F1115"/>
          <w:sz w:val="32"/>
          <w:szCs w:val="32"/>
          <w:shd w:val="clear" w:color="auto" w:fill="FFFFFF"/>
          <w:lang w:eastAsia="zh-CN"/>
        </w:rPr>
        <w:t>；</w:t>
      </w:r>
      <w:r>
        <w:rPr>
          <w:rFonts w:hint="eastAsia" w:ascii="仿宋_GB2312" w:hAnsi="仿宋_GB2312" w:eastAsia="仿宋_GB2312" w:cs="仿宋_GB2312"/>
          <w:b w:val="0"/>
          <w:bCs w:val="0"/>
          <w:i w:val="0"/>
          <w:snapToGrid/>
          <w:color w:val="0F1115"/>
          <w:sz w:val="32"/>
          <w:szCs w:val="32"/>
          <w:shd w:val="clear" w:color="auto" w:fill="FFFFFF"/>
        </w:rPr>
        <w:t>三是严格法制审核。</w:t>
      </w:r>
      <w:r>
        <w:rPr>
          <w:rFonts w:hint="eastAsia" w:ascii="仿宋_GB2312" w:hAnsi="仿宋_GB2312" w:eastAsia="仿宋_GB2312" w:cs="仿宋_GB2312"/>
          <w:b w:val="0"/>
          <w:i w:val="0"/>
          <w:snapToGrid/>
          <w:color w:val="0F1115"/>
          <w:sz w:val="32"/>
          <w:szCs w:val="32"/>
          <w:shd w:val="clear" w:color="auto" w:fill="FFFFFF"/>
        </w:rPr>
        <w:t>明确所有重大行政执法决定必须经法制审核机构审核，未经审核或审核不通过的，不得作出决定。</w:t>
      </w:r>
    </w:p>
    <w:p w14:paraId="22A1CA39">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仿宋_GB2312" w:hAnsi="仿宋_GB2312" w:eastAsia="仿宋_GB2312" w:cs="仿宋_GB2312"/>
          <w:b/>
          <w:i w:val="0"/>
          <w:snapToGrid/>
          <w:color w:val="0F1115"/>
          <w:sz w:val="32"/>
          <w:szCs w:val="32"/>
          <w:shd w:val="clear" w:color="auto" w:fill="FFFFFF"/>
          <w:lang w:val="en-US" w:eastAsia="zh-CN"/>
        </w:rPr>
        <w:t>3.提升</w:t>
      </w:r>
      <w:r>
        <w:rPr>
          <w:rFonts w:hint="eastAsia" w:ascii="仿宋_GB2312" w:hAnsi="仿宋_GB2312" w:eastAsia="仿宋_GB2312" w:cs="仿宋_GB2312"/>
          <w:b/>
          <w:i w:val="0"/>
          <w:snapToGrid/>
          <w:color w:val="0F1115"/>
          <w:sz w:val="32"/>
          <w:szCs w:val="32"/>
          <w:shd w:val="clear" w:color="auto" w:fill="FFFFFF"/>
        </w:rPr>
        <w:t>依法化解矛盾纠纷</w:t>
      </w:r>
      <w:r>
        <w:rPr>
          <w:rFonts w:hint="eastAsia" w:ascii="仿宋_GB2312" w:hAnsi="仿宋_GB2312" w:eastAsia="仿宋_GB2312" w:cs="仿宋_GB2312"/>
          <w:b/>
          <w:i w:val="0"/>
          <w:snapToGrid/>
          <w:color w:val="0F1115"/>
          <w:sz w:val="32"/>
          <w:szCs w:val="32"/>
          <w:shd w:val="clear" w:color="auto" w:fill="FFFFFF"/>
          <w:lang w:val="en-US" w:eastAsia="zh-CN"/>
        </w:rPr>
        <w:t>能力</w:t>
      </w:r>
      <w:r>
        <w:rPr>
          <w:rFonts w:hint="eastAsia" w:ascii="仿宋_GB2312" w:hAnsi="仿宋_GB2312" w:eastAsia="仿宋_GB2312" w:cs="仿宋_GB2312"/>
          <w:b/>
          <w:i w:val="0"/>
          <w:snapToGrid/>
          <w:color w:val="0F1115"/>
          <w:sz w:val="32"/>
          <w:szCs w:val="32"/>
          <w:shd w:val="clear" w:color="auto" w:fill="FFFFFF"/>
        </w:rPr>
        <w:t>。</w:t>
      </w:r>
      <w:r>
        <w:rPr>
          <w:rFonts w:hint="eastAsia" w:ascii="仿宋_GB2312" w:hAnsi="仿宋_GB2312" w:eastAsia="仿宋_GB2312" w:cs="仿宋_GB2312"/>
          <w:b w:val="0"/>
          <w:i w:val="0"/>
          <w:snapToGrid/>
          <w:color w:val="0F1115"/>
          <w:sz w:val="32"/>
          <w:szCs w:val="32"/>
          <w:shd w:val="clear" w:color="auto" w:fill="FFFFFF"/>
        </w:rPr>
        <w:t>坚持和发展新时代“枫桥经验”，畅通和规范群众诉求表达、利益协调、权益保障通道。</w:t>
      </w:r>
      <w:r>
        <w:rPr>
          <w:rFonts w:hint="eastAsia" w:ascii="仿宋_GB2312" w:hAnsi="仿宋_GB2312" w:eastAsia="仿宋_GB2312" w:cs="仿宋_GB2312"/>
          <w:b w:val="0"/>
          <w:bCs w:val="0"/>
          <w:i w:val="0"/>
          <w:snapToGrid/>
          <w:color w:val="000000"/>
          <w:sz w:val="32"/>
          <w:szCs w:val="32"/>
          <w:shd w:val="clear" w:color="auto" w:fill="FFFFFF"/>
        </w:rPr>
        <w:t>一是强化劳动人事争议调解仲裁。</w:t>
      </w:r>
      <w:r>
        <w:rPr>
          <w:rFonts w:hint="eastAsia" w:ascii="仿宋_GB2312" w:hAnsi="仿宋_GB2312" w:eastAsia="仿宋_GB2312" w:cs="仿宋_GB2312"/>
          <w:b w:val="0"/>
          <w:bCs w:val="0"/>
          <w:i w:val="0"/>
          <w:snapToGrid/>
          <w:color w:val="000000"/>
          <w:sz w:val="32"/>
          <w:szCs w:val="32"/>
          <w:shd w:val="clear" w:color="auto" w:fill="FFFFFF"/>
          <w:lang w:eastAsia="zh-CN"/>
        </w:rPr>
        <w:t>组织</w:t>
      </w:r>
      <w:r>
        <w:rPr>
          <w:rFonts w:hint="eastAsia" w:ascii="仿宋_GB2312" w:hAnsi="仿宋_GB2312" w:eastAsia="仿宋_GB2312" w:cs="仿宋_GB2312"/>
          <w:b w:val="0"/>
          <w:bCs w:val="0"/>
          <w:i w:val="0"/>
          <w:snapToGrid/>
          <w:color w:val="000000"/>
          <w:sz w:val="32"/>
          <w:szCs w:val="32"/>
          <w:shd w:val="clear" w:color="auto" w:fill="FFFFFF"/>
        </w:rPr>
        <w:t>重大复杂案件汇报，协调解决仲裁工作中的困难</w:t>
      </w:r>
      <w:r>
        <w:rPr>
          <w:rFonts w:hint="eastAsia" w:ascii="仿宋_GB2312" w:hAnsi="仿宋_GB2312" w:eastAsia="仿宋_GB2312" w:cs="仿宋_GB2312"/>
          <w:b w:val="0"/>
          <w:bCs w:val="0"/>
          <w:i w:val="0"/>
          <w:snapToGrid/>
          <w:color w:val="000000"/>
          <w:sz w:val="32"/>
          <w:szCs w:val="32"/>
          <w:shd w:val="clear" w:color="auto" w:fill="FFFFFF"/>
          <w:lang w:eastAsia="zh-CN"/>
        </w:rPr>
        <w:t>，</w:t>
      </w:r>
      <w:r>
        <w:rPr>
          <w:rFonts w:hint="eastAsia" w:ascii="仿宋_GB2312" w:hAnsi="仿宋_GB2312" w:eastAsia="仿宋_GB2312" w:cs="仿宋_GB2312"/>
          <w:b w:val="0"/>
          <w:bCs w:val="0"/>
          <w:i w:val="0"/>
          <w:snapToGrid/>
          <w:color w:val="000000"/>
          <w:sz w:val="32"/>
          <w:szCs w:val="32"/>
          <w:shd w:val="clear" w:color="auto" w:fill="FFFFFF"/>
        </w:rPr>
        <w:t>推动“互联网+调解仲裁”，推广要素式办案，容缺受理。设立综治中心轮住窗口，打造明星调解员口碑效应。年内受理仲裁案件185件，结案率100%，调解成功率95%，为劳动者挽回经济损失169.09万元。同时，向区委报送《建安区企业用工合规指引》，探索试用《建安区合规用工实操30条》，为企业用工提供全方位保驾护航</w:t>
      </w:r>
      <w:r>
        <w:rPr>
          <w:rFonts w:hint="eastAsia" w:ascii="仿宋_GB2312" w:hAnsi="仿宋_GB2312" w:eastAsia="仿宋_GB2312" w:cs="仿宋_GB2312"/>
          <w:b w:val="0"/>
          <w:bCs w:val="0"/>
          <w:i w:val="0"/>
          <w:snapToGrid/>
          <w:color w:val="000000"/>
          <w:sz w:val="32"/>
          <w:szCs w:val="32"/>
          <w:shd w:val="clear" w:color="auto" w:fill="FFFFFF"/>
          <w:lang w:eastAsia="zh-CN"/>
        </w:rPr>
        <w:t>；</w:t>
      </w:r>
      <w:r>
        <w:rPr>
          <w:rFonts w:hint="eastAsia" w:ascii="仿宋_GB2312" w:hAnsi="仿宋_GB2312" w:eastAsia="仿宋_GB2312" w:cs="仿宋_GB2312"/>
          <w:b w:val="0"/>
          <w:bCs w:val="0"/>
          <w:i w:val="0"/>
          <w:snapToGrid/>
          <w:color w:val="000000"/>
          <w:sz w:val="32"/>
          <w:szCs w:val="32"/>
          <w:shd w:val="clear" w:color="auto" w:fill="FFFFFF"/>
        </w:rPr>
        <w:t>二是</w:t>
      </w:r>
      <w:r>
        <w:rPr>
          <w:rFonts w:hint="eastAsia" w:ascii="仿宋_GB2312" w:hAnsi="仿宋_GB2312" w:eastAsia="仿宋_GB2312" w:cs="仿宋_GB2312"/>
          <w:b w:val="0"/>
          <w:i w:val="0"/>
          <w:snapToGrid/>
          <w:color w:val="000000"/>
          <w:sz w:val="32"/>
          <w:szCs w:val="32"/>
          <w:shd w:val="clear" w:color="auto" w:fill="FFFFFF"/>
        </w:rPr>
        <w:t>优化劳动保障监察。积极构建“源头预警+部门联动+精准处置”全链条治理欠薪体系，</w:t>
      </w:r>
      <w:r>
        <w:rPr>
          <w:rFonts w:hint="eastAsia" w:ascii="仿宋_GB2312" w:hAnsi="仿宋_GB2312" w:eastAsia="仿宋_GB2312" w:cs="仿宋_GB2312"/>
          <w:b w:val="0"/>
          <w:i w:val="0"/>
          <w:snapToGrid/>
          <w:color w:val="000000"/>
          <w:sz w:val="32"/>
          <w:szCs w:val="32"/>
          <w:shd w:val="clear" w:color="auto" w:fill="FFFFFF"/>
          <w:lang w:val="en-US" w:eastAsia="zh-CN"/>
        </w:rPr>
        <w:t>对</w:t>
      </w:r>
      <w:r>
        <w:rPr>
          <w:rFonts w:hint="eastAsia" w:ascii="仿宋_GB2312" w:hAnsi="仿宋_GB2312" w:eastAsia="仿宋_GB2312" w:cs="仿宋_GB2312"/>
          <w:b w:val="0"/>
          <w:i w:val="0"/>
          <w:snapToGrid/>
          <w:color w:val="000000"/>
          <w:sz w:val="32"/>
          <w:szCs w:val="32"/>
          <w:shd w:val="clear" w:color="auto" w:fill="FFFFFF"/>
        </w:rPr>
        <w:t>欠薪隐患早发现、早介入。</w:t>
      </w:r>
      <w:r>
        <w:rPr>
          <w:rFonts w:hint="eastAsia" w:ascii="仿宋_GB2312" w:hAnsi="仿宋_GB2312" w:eastAsia="仿宋_GB2312" w:cs="仿宋_GB2312"/>
          <w:b w:val="0"/>
          <w:i w:val="0"/>
          <w:snapToGrid/>
          <w:color w:val="000000"/>
          <w:sz w:val="32"/>
          <w:szCs w:val="32"/>
          <w:shd w:val="clear" w:color="auto" w:fill="FFFFFF"/>
          <w:lang w:val="en-US" w:eastAsia="zh-CN"/>
        </w:rPr>
        <w:t>与</w:t>
      </w:r>
      <w:r>
        <w:rPr>
          <w:rFonts w:hint="eastAsia" w:ascii="仿宋_GB2312" w:hAnsi="仿宋_GB2312" w:eastAsia="仿宋_GB2312" w:cs="仿宋_GB2312"/>
          <w:b w:val="0"/>
          <w:i w:val="0"/>
          <w:snapToGrid/>
          <w:color w:val="000000"/>
          <w:sz w:val="32"/>
          <w:szCs w:val="32"/>
          <w:shd w:val="clear" w:color="auto" w:fill="FFFFFF"/>
        </w:rPr>
        <w:t>行业主管部门建立“数据共享、线索互通、联合处置”的协同联动，以欠薪治理冬季攻坚行动为抓手，持续强化源头防控，以更实举措推进欠薪治理专项行动走深走实。全年办结劳动保障监察投诉举报720余件，为380余名劳动者追发工资待遇1350余万元。严格落实包案督办制度，化解历史遗留欠薪疑难案件，针对一起历时两年的工程款纠纷欠薪案，多次组织建设方、施工方、分包商协商，推动案件圆满解决</w:t>
      </w:r>
      <w:r>
        <w:rPr>
          <w:rFonts w:hint="eastAsia" w:ascii="仿宋_GB2312" w:hAnsi="仿宋_GB2312" w:eastAsia="仿宋_GB2312" w:cs="仿宋_GB2312"/>
          <w:b w:val="0"/>
          <w:i w:val="0"/>
          <w:snapToGrid/>
          <w:color w:val="000000"/>
          <w:sz w:val="32"/>
          <w:szCs w:val="32"/>
          <w:shd w:val="clear" w:color="auto" w:fill="FFFFFF"/>
          <w:lang w:eastAsia="zh-CN"/>
        </w:rPr>
        <w:t>；</w:t>
      </w:r>
      <w:r>
        <w:rPr>
          <w:rFonts w:hint="eastAsia" w:ascii="仿宋_GB2312" w:hAnsi="仿宋_GB2312" w:eastAsia="仿宋_GB2312" w:cs="仿宋_GB2312"/>
          <w:b w:val="0"/>
          <w:bCs w:val="0"/>
          <w:i w:val="0"/>
          <w:snapToGrid/>
          <w:color w:val="0F1115"/>
          <w:sz w:val="32"/>
          <w:szCs w:val="32"/>
          <w:shd w:val="clear" w:color="auto" w:fill="FFFFFF"/>
        </w:rPr>
        <w:t>三是</w:t>
      </w:r>
      <w:r>
        <w:rPr>
          <w:rFonts w:hint="eastAsia" w:ascii="仿宋_GB2312" w:hAnsi="仿宋_GB2312" w:eastAsia="仿宋_GB2312" w:cs="仿宋_GB2312"/>
          <w:b w:val="0"/>
          <w:i w:val="0"/>
          <w:snapToGrid/>
          <w:color w:val="0F1115"/>
          <w:sz w:val="32"/>
          <w:szCs w:val="32"/>
          <w:shd w:val="clear" w:color="auto" w:fill="FFFFFF"/>
        </w:rPr>
        <w:t>依法办理行政复议和</w:t>
      </w:r>
      <w:r>
        <w:rPr>
          <w:rFonts w:hint="eastAsia" w:ascii="仿宋_GB2312" w:hAnsi="仿宋_GB2312" w:eastAsia="仿宋_GB2312" w:cs="仿宋_GB2312"/>
          <w:b w:val="0"/>
          <w:i w:val="0"/>
          <w:snapToGrid/>
          <w:color w:val="000000"/>
          <w:sz w:val="32"/>
          <w:szCs w:val="32"/>
          <w:shd w:val="clear" w:color="auto" w:fill="FFFFFF"/>
        </w:rPr>
        <w:t>应诉。严格履行法定职责，规范办案流程，妥善化解争议，维护当事人合法权益。</w:t>
      </w:r>
      <w:r>
        <w:rPr>
          <w:rFonts w:hint="eastAsia" w:ascii="仿宋_GB2312" w:hAnsi="仿宋_GB2312" w:eastAsia="仿宋_GB2312" w:cs="仿宋_GB2312"/>
          <w:b w:val="0"/>
          <w:i w:val="0"/>
          <w:snapToGrid/>
          <w:color w:val="000000"/>
          <w:sz w:val="32"/>
          <w:szCs w:val="32"/>
          <w:shd w:val="clear" w:color="auto" w:fill="FFFFFF"/>
          <w:lang w:val="en-US" w:eastAsia="zh-CN"/>
        </w:rPr>
        <w:t>比如在工伤认定工作中，加强府院沟通，对有争议的案件，提前与政府复议机构和法院进行充分沟通，在源头预防、前端化解、论证延伸、共享提高四个方面联动，促进行政争议的有效化解。积极做好争议双方的调解工作，兼顾法律的公允与人情社会的公序良俗。</w:t>
      </w:r>
    </w:p>
    <w:p w14:paraId="4F72102C">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黑体" w:hAnsi="黑体" w:eastAsia="黑体" w:cs="黑体"/>
          <w:b w:val="0"/>
          <w:bCs/>
          <w:i w:val="0"/>
          <w:snapToGrid/>
          <w:color w:val="0F1115"/>
          <w:sz w:val="32"/>
          <w:szCs w:val="32"/>
          <w:shd w:val="clear" w:color="auto" w:fill="FFFFFF"/>
        </w:rPr>
      </w:pPr>
      <w:r>
        <w:rPr>
          <w:rFonts w:hint="eastAsia" w:ascii="黑体" w:hAnsi="黑体" w:eastAsia="黑体" w:cs="黑体"/>
          <w:b w:val="0"/>
          <w:bCs/>
          <w:i w:val="0"/>
          <w:snapToGrid/>
          <w:color w:val="0F1115"/>
          <w:sz w:val="32"/>
          <w:szCs w:val="32"/>
          <w:shd w:val="clear" w:color="auto" w:fill="FFFFFF"/>
        </w:rPr>
        <w:t>二、存在问题</w:t>
      </w:r>
    </w:p>
    <w:p w14:paraId="462576FB">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lang w:eastAsia="zh-CN"/>
        </w:rPr>
      </w:pPr>
      <w:r>
        <w:rPr>
          <w:rFonts w:hint="eastAsia" w:ascii="仿宋_GB2312" w:hAnsi="仿宋_GB2312" w:eastAsia="仿宋_GB2312" w:cs="仿宋_GB2312"/>
          <w:b w:val="0"/>
          <w:i w:val="0"/>
          <w:snapToGrid/>
          <w:color w:val="0F1115"/>
          <w:sz w:val="32"/>
          <w:szCs w:val="32"/>
          <w:shd w:val="clear" w:color="auto" w:fill="FFFFFF"/>
        </w:rPr>
        <w:t>在总结成绩的同时，对照习近平法治思想的高标准，对照区委区政府的要求和人民群众的期盼，我局的法治建设工作仍存在一些不容忽视的问题和短板</w:t>
      </w:r>
      <w:r>
        <w:rPr>
          <w:rFonts w:hint="eastAsia" w:ascii="仿宋_GB2312" w:hAnsi="仿宋_GB2312" w:eastAsia="仿宋_GB2312" w:cs="仿宋_GB2312"/>
          <w:b w:val="0"/>
          <w:i w:val="0"/>
          <w:snapToGrid/>
          <w:color w:val="0F1115"/>
          <w:sz w:val="32"/>
          <w:szCs w:val="32"/>
          <w:shd w:val="clear" w:color="auto" w:fill="FFFFFF"/>
          <w:lang w:eastAsia="zh-CN"/>
        </w:rPr>
        <w:t>。</w:t>
      </w:r>
    </w:p>
    <w:p w14:paraId="7EDB978C">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楷体_GB2312" w:hAnsi="楷体_GB2312" w:eastAsia="楷体_GB2312" w:cs="楷体_GB2312"/>
          <w:b w:val="0"/>
          <w:bCs/>
          <w:i w:val="0"/>
          <w:snapToGrid/>
          <w:color w:val="0F1115"/>
          <w:sz w:val="32"/>
          <w:szCs w:val="32"/>
          <w:shd w:val="clear" w:color="auto" w:fill="FFFFFF"/>
        </w:rPr>
        <w:t>（一）理论学习的深度与实践转化的效度有待加强。</w:t>
      </w:r>
      <w:r>
        <w:rPr>
          <w:rFonts w:hint="eastAsia" w:ascii="仿宋_GB2312" w:hAnsi="仿宋_GB2312" w:eastAsia="仿宋_GB2312" w:cs="仿宋_GB2312"/>
          <w:b w:val="0"/>
          <w:i w:val="0"/>
          <w:snapToGrid/>
          <w:color w:val="0F1115"/>
          <w:sz w:val="32"/>
          <w:szCs w:val="32"/>
          <w:shd w:val="clear" w:color="auto" w:fill="FFFFFF"/>
        </w:rPr>
        <w:t>虽然组织了多次学习，但有时满足于“读过了”“学过了”，对习近平法治思想整体性、关联性的把握还不够系统深入，将其创造性地运用于破解人社领域深层次矛盾、如新就业形态劳动者权益保障、复杂劳动关系认定等方面，思路还不够开阔，办法还不够多。例如，面对平台用工等新型劳动关系，如何精准适用法律、平衡各方权益，前瞻性研究和应对策略还显不足。</w:t>
      </w:r>
    </w:p>
    <w:p w14:paraId="26C7E5FE">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楷体_GB2312" w:hAnsi="楷体_GB2312" w:eastAsia="楷体_GB2312" w:cs="楷体_GB2312"/>
          <w:b w:val="0"/>
          <w:bCs/>
          <w:i w:val="0"/>
          <w:snapToGrid/>
          <w:color w:val="0F1115"/>
          <w:sz w:val="32"/>
          <w:szCs w:val="32"/>
          <w:shd w:val="clear" w:color="auto" w:fill="FFFFFF"/>
        </w:rPr>
        <w:t>（二）行政执法规范化水平有待进一步提升。</w:t>
      </w:r>
      <w:r>
        <w:rPr>
          <w:rFonts w:hint="eastAsia" w:ascii="仿宋_GB2312" w:hAnsi="仿宋_GB2312" w:eastAsia="仿宋_GB2312" w:cs="仿宋_GB2312"/>
          <w:b w:val="0"/>
          <w:i w:val="0"/>
          <w:snapToGrid/>
          <w:color w:val="0F1115"/>
          <w:sz w:val="32"/>
          <w:szCs w:val="32"/>
          <w:shd w:val="clear" w:color="auto" w:fill="FFFFFF"/>
        </w:rPr>
        <w:t>尽管推行了“三项制度”，但在具体执行中仍存在不平衡、不细致的问题。部分执法人员运用法治思维和法治方式处理复杂情况的能力有待提高，“重实体、轻程序”的观念仍未完全根除。执法案卷质量</w:t>
      </w:r>
      <w:r>
        <w:rPr>
          <w:rFonts w:hint="eastAsia" w:ascii="仿宋_GB2312" w:hAnsi="仿宋_GB2312" w:eastAsia="仿宋_GB2312" w:cs="仿宋_GB2312"/>
          <w:b w:val="0"/>
          <w:i w:val="0"/>
          <w:snapToGrid/>
          <w:color w:val="0F1115"/>
          <w:sz w:val="32"/>
          <w:szCs w:val="32"/>
          <w:shd w:val="clear" w:color="auto" w:fill="FFFFFF"/>
          <w:lang w:val="en-US" w:eastAsia="zh-CN"/>
        </w:rPr>
        <w:t>不高</w:t>
      </w:r>
      <w:r>
        <w:rPr>
          <w:rFonts w:hint="eastAsia" w:ascii="仿宋_GB2312" w:hAnsi="仿宋_GB2312" w:eastAsia="仿宋_GB2312" w:cs="仿宋_GB2312"/>
          <w:b w:val="0"/>
          <w:i w:val="0"/>
          <w:snapToGrid/>
          <w:color w:val="0F1115"/>
          <w:sz w:val="32"/>
          <w:szCs w:val="32"/>
          <w:shd w:val="clear" w:color="auto" w:fill="FFFFFF"/>
        </w:rPr>
        <w:t>，个别案件文书制作不够规范</w:t>
      </w:r>
      <w:r>
        <w:rPr>
          <w:rFonts w:hint="eastAsia" w:ascii="仿宋_GB2312" w:hAnsi="仿宋_GB2312" w:eastAsia="仿宋_GB2312" w:cs="仿宋_GB2312"/>
          <w:b w:val="0"/>
          <w:i w:val="0"/>
          <w:snapToGrid/>
          <w:color w:val="0F1115"/>
          <w:sz w:val="32"/>
          <w:szCs w:val="32"/>
          <w:shd w:val="clear" w:color="auto" w:fill="FFFFFF"/>
          <w:lang w:eastAsia="zh-CN"/>
        </w:rPr>
        <w:t>；</w:t>
      </w:r>
      <w:r>
        <w:rPr>
          <w:rFonts w:hint="eastAsia" w:ascii="仿宋_GB2312" w:hAnsi="仿宋_GB2312" w:eastAsia="仿宋_GB2312" w:cs="仿宋_GB2312"/>
          <w:b w:val="0"/>
          <w:i w:val="0"/>
          <w:snapToGrid/>
          <w:color w:val="0F1115"/>
          <w:sz w:val="32"/>
          <w:szCs w:val="32"/>
          <w:shd w:val="clear" w:color="auto" w:fill="FFFFFF"/>
        </w:rPr>
        <w:t>执法队伍的专业化、职业化建设需加快步伐，尤其是兼具法律知识和人社业务知识的复合型人才短缺。</w:t>
      </w:r>
    </w:p>
    <w:p w14:paraId="2286283F">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楷体_GB2312" w:hAnsi="楷体_GB2312" w:eastAsia="楷体_GB2312" w:cs="楷体_GB2312"/>
          <w:b w:val="0"/>
          <w:bCs/>
          <w:i w:val="0"/>
          <w:snapToGrid/>
          <w:color w:val="0F1115"/>
          <w:sz w:val="32"/>
          <w:szCs w:val="32"/>
          <w:shd w:val="clear" w:color="auto" w:fill="FFFFFF"/>
        </w:rPr>
        <w:t>（三）矛盾纠纷多元化解机制效能有待充分释放。</w:t>
      </w:r>
      <w:r>
        <w:rPr>
          <w:rFonts w:hint="eastAsia" w:ascii="仿宋_GB2312" w:hAnsi="仿宋_GB2312" w:eastAsia="仿宋_GB2312" w:cs="仿宋_GB2312"/>
          <w:b w:val="0"/>
          <w:i w:val="0"/>
          <w:snapToGrid/>
          <w:color w:val="0F1115"/>
          <w:sz w:val="32"/>
          <w:szCs w:val="32"/>
          <w:shd w:val="clear" w:color="auto" w:fill="FFFFFF"/>
        </w:rPr>
        <w:t>劳动人事争议仲裁案件量持续高位运行，“案多人少”矛盾突出，仲裁员队伍建设和能力提升亟待加强。调解组织的覆盖面和作用发挥还不够理想，部分基层调解组织力量薄弱、专业性不强。行政调解、人民调解、司法调解的衔接联动机制还不够顺畅高效，未能完全形成化解劳动纠纷的最大合力。个别信访积案的化解仍依赖传统方式，运用法治化、规范化手段攻坚克难的力度需加大。</w:t>
      </w:r>
    </w:p>
    <w:p w14:paraId="6A7854EA">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楷体_GB2312" w:hAnsi="楷体_GB2312" w:eastAsia="楷体_GB2312" w:cs="楷体_GB2312"/>
          <w:b w:val="0"/>
          <w:bCs/>
          <w:i w:val="0"/>
          <w:snapToGrid/>
          <w:color w:val="0F1115"/>
          <w:sz w:val="32"/>
          <w:szCs w:val="32"/>
          <w:shd w:val="clear" w:color="auto" w:fill="FFFFFF"/>
        </w:rPr>
        <w:t>（四）普法宣传的精准性和实效性有待增强。</w:t>
      </w:r>
      <w:r>
        <w:rPr>
          <w:rFonts w:hint="eastAsia" w:ascii="仿宋_GB2312" w:hAnsi="仿宋_GB2312" w:eastAsia="仿宋_GB2312" w:cs="仿宋_GB2312"/>
          <w:b w:val="0"/>
          <w:i w:val="0"/>
          <w:snapToGrid/>
          <w:color w:val="0F1115"/>
          <w:sz w:val="32"/>
          <w:szCs w:val="32"/>
          <w:shd w:val="clear" w:color="auto" w:fill="FFFFFF"/>
        </w:rPr>
        <w:t>“谁执法谁普法”责任制的落实有时停留在“搞活动”、“发材料”层面，针对不同群体（如中小企业主、农民工、高校毕业生）的个性化、差异化普法供给不足。普法形式创新不够，利用新媒体、以案释法等生动活泼的形式吸引群众、教育群众的成效有待提升。普法与法律服务的结合不够紧密，群众遇到问题“找不到法”、“用不起法”的情况在一定程度上仍然存在。</w:t>
      </w:r>
    </w:p>
    <w:p w14:paraId="58507C74">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黑体" w:hAnsi="黑体" w:eastAsia="黑体" w:cs="黑体"/>
          <w:b w:val="0"/>
          <w:bCs/>
          <w:i w:val="0"/>
          <w:snapToGrid/>
          <w:color w:val="0F1115"/>
          <w:sz w:val="32"/>
          <w:szCs w:val="32"/>
          <w:shd w:val="clear" w:color="auto" w:fill="FFFFFF"/>
        </w:rPr>
      </w:pPr>
      <w:r>
        <w:rPr>
          <w:rFonts w:hint="eastAsia" w:ascii="黑体" w:hAnsi="黑体" w:eastAsia="黑体" w:cs="黑体"/>
          <w:b w:val="0"/>
          <w:bCs/>
          <w:i w:val="0"/>
          <w:snapToGrid/>
          <w:color w:val="0F1115"/>
          <w:sz w:val="32"/>
          <w:szCs w:val="32"/>
          <w:shd w:val="clear" w:color="auto" w:fill="FFFFFF"/>
          <w:lang w:val="en-US" w:eastAsia="zh-CN"/>
        </w:rPr>
        <w:t>三、</w:t>
      </w:r>
      <w:r>
        <w:rPr>
          <w:rFonts w:hint="eastAsia" w:ascii="黑体" w:hAnsi="黑体" w:eastAsia="黑体" w:cs="黑体"/>
          <w:b w:val="0"/>
          <w:bCs/>
          <w:i w:val="0"/>
          <w:snapToGrid/>
          <w:color w:val="0F1115"/>
          <w:sz w:val="32"/>
          <w:szCs w:val="32"/>
          <w:shd w:val="clear" w:color="auto" w:fill="FFFFFF"/>
        </w:rPr>
        <w:t>下一步</w:t>
      </w:r>
      <w:r>
        <w:rPr>
          <w:rFonts w:hint="eastAsia" w:ascii="黑体" w:hAnsi="黑体" w:eastAsia="黑体" w:cs="黑体"/>
          <w:b w:val="0"/>
          <w:bCs/>
          <w:i w:val="0"/>
          <w:snapToGrid/>
          <w:color w:val="0F1115"/>
          <w:sz w:val="32"/>
          <w:szCs w:val="32"/>
          <w:shd w:val="clear" w:color="auto" w:fill="FFFFFF"/>
          <w:lang w:val="en-US" w:eastAsia="zh-CN"/>
        </w:rPr>
        <w:t>工作</w:t>
      </w:r>
      <w:r>
        <w:rPr>
          <w:rFonts w:hint="eastAsia" w:ascii="黑体" w:hAnsi="黑体" w:eastAsia="黑体" w:cs="黑体"/>
          <w:b w:val="0"/>
          <w:bCs/>
          <w:i w:val="0"/>
          <w:snapToGrid/>
          <w:color w:val="0F1115"/>
          <w:sz w:val="32"/>
          <w:szCs w:val="32"/>
          <w:shd w:val="clear" w:color="auto" w:fill="FFFFFF"/>
        </w:rPr>
        <w:t>打算</w:t>
      </w:r>
    </w:p>
    <w:p w14:paraId="0D227677">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楷体_GB2312" w:hAnsi="楷体_GB2312" w:eastAsia="楷体_GB2312" w:cs="楷体_GB2312"/>
          <w:b w:val="0"/>
          <w:bCs/>
          <w:i w:val="0"/>
          <w:snapToGrid/>
          <w:color w:val="0F1115"/>
          <w:sz w:val="32"/>
          <w:szCs w:val="32"/>
          <w:shd w:val="clear" w:color="auto" w:fill="FFFFFF"/>
        </w:rPr>
        <w:t>（一）在深化理论武装上再下苦功，提升法治思维能力</w:t>
      </w:r>
      <w:r>
        <w:rPr>
          <w:rFonts w:hint="eastAsia" w:ascii="楷体_GB2312" w:hAnsi="楷体_GB2312" w:eastAsia="楷体_GB2312" w:cs="楷体_GB2312"/>
          <w:b w:val="0"/>
          <w:bCs/>
          <w:i w:val="0"/>
          <w:snapToGrid/>
          <w:color w:val="0F1115"/>
          <w:sz w:val="32"/>
          <w:szCs w:val="32"/>
          <w:shd w:val="clear" w:color="auto" w:fill="FFFFFF"/>
          <w:lang w:eastAsia="zh-CN"/>
        </w:rPr>
        <w:t>。</w:t>
      </w:r>
      <w:r>
        <w:rPr>
          <w:rFonts w:hint="eastAsia" w:ascii="仿宋_GB2312" w:hAnsi="仿宋_GB2312" w:eastAsia="仿宋_GB2312" w:cs="仿宋_GB2312"/>
          <w:b w:val="0"/>
          <w:i w:val="0"/>
          <w:snapToGrid/>
          <w:color w:val="0F1115"/>
          <w:sz w:val="32"/>
          <w:szCs w:val="32"/>
          <w:shd w:val="clear" w:color="auto" w:fill="FFFFFF"/>
        </w:rPr>
        <w:t>制定并严格执行年度法治学习计划，将习近平法治思想作为党组会、</w:t>
      </w:r>
      <w:r>
        <w:rPr>
          <w:rFonts w:hint="eastAsia" w:ascii="仿宋_GB2312" w:hAnsi="仿宋_GB2312" w:eastAsia="仿宋_GB2312" w:cs="仿宋_GB2312"/>
          <w:b w:val="0"/>
          <w:i w:val="0"/>
          <w:snapToGrid/>
          <w:color w:val="0F1115"/>
          <w:sz w:val="32"/>
          <w:szCs w:val="32"/>
          <w:shd w:val="clear" w:color="auto" w:fill="FFFFFF"/>
          <w:lang w:val="en-US" w:eastAsia="zh-CN"/>
        </w:rPr>
        <w:t>中心组理论学习、系统会</w:t>
      </w:r>
      <w:r>
        <w:rPr>
          <w:rFonts w:hint="eastAsia" w:ascii="仿宋_GB2312" w:hAnsi="仿宋_GB2312" w:eastAsia="仿宋_GB2312" w:cs="仿宋_GB2312"/>
          <w:b w:val="0"/>
          <w:i w:val="0"/>
          <w:snapToGrid/>
          <w:color w:val="0F1115"/>
          <w:sz w:val="32"/>
          <w:szCs w:val="32"/>
          <w:shd w:val="clear" w:color="auto" w:fill="FFFFFF"/>
        </w:rPr>
        <w:t>等重要会议常设议题。</w:t>
      </w:r>
      <w:r>
        <w:rPr>
          <w:rFonts w:hint="eastAsia" w:ascii="仿宋_GB2312" w:hAnsi="仿宋_GB2312" w:eastAsia="仿宋_GB2312" w:cs="仿宋_GB2312"/>
          <w:b w:val="0"/>
          <w:i w:val="0"/>
          <w:snapToGrid/>
          <w:color w:val="0F1115"/>
          <w:sz w:val="32"/>
          <w:szCs w:val="32"/>
          <w:shd w:val="clear" w:color="auto" w:fill="FFFFFF"/>
          <w:lang w:val="en-US" w:eastAsia="zh-CN"/>
        </w:rPr>
        <w:t>不定期</w:t>
      </w:r>
      <w:r>
        <w:rPr>
          <w:rFonts w:hint="eastAsia" w:ascii="仿宋_GB2312" w:hAnsi="仿宋_GB2312" w:eastAsia="仿宋_GB2312" w:cs="仿宋_GB2312"/>
          <w:b w:val="0"/>
          <w:i w:val="0"/>
          <w:snapToGrid/>
          <w:color w:val="0F1115"/>
          <w:sz w:val="32"/>
          <w:szCs w:val="32"/>
          <w:shd w:val="clear" w:color="auto" w:fill="FFFFFF"/>
        </w:rPr>
        <w:t>举办专题读书班，开展沉浸式、研讨式学习，更加注重领会其方法论意义。开展人社领域法治难点问题调研，推动学习成果向破解实践难题转化。加强对新业态劳动用工等前沿法律问题的研究储备。</w:t>
      </w:r>
    </w:p>
    <w:p w14:paraId="294C0932">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楷体_GB2312" w:hAnsi="楷体_GB2312" w:eastAsia="楷体_GB2312" w:cs="楷体_GB2312"/>
          <w:b w:val="0"/>
          <w:bCs/>
          <w:i w:val="0"/>
          <w:snapToGrid/>
          <w:color w:val="0F1115"/>
          <w:sz w:val="32"/>
          <w:szCs w:val="32"/>
          <w:shd w:val="clear" w:color="auto" w:fill="FFFFFF"/>
        </w:rPr>
        <w:t>（二）在规范行政执法上再出实招，促进严格公正文明。</w:t>
      </w:r>
      <w:r>
        <w:rPr>
          <w:rFonts w:hint="eastAsia" w:ascii="仿宋_GB2312" w:hAnsi="仿宋_GB2312" w:eastAsia="仿宋_GB2312" w:cs="仿宋_GB2312"/>
          <w:b w:val="0"/>
          <w:i w:val="0"/>
          <w:snapToGrid/>
          <w:color w:val="0F1115"/>
          <w:sz w:val="32"/>
          <w:szCs w:val="32"/>
          <w:shd w:val="clear" w:color="auto" w:fill="FFFFFF"/>
        </w:rPr>
        <w:t>深入开展行政执法规范化建设，对“三项制度”落实情况进行全覆盖检查评估和问题通报。完善执法案卷评查标准和常态化评查机制，将评查结果与考核挂钩。加大执法人员培训力度，特别是法律适用、调查取证、文书制作、应急处置等实战技能培训。探索建立执法典型案例指导制度。积极争取支持，补充法律专业人才，优化执法队伍结构。</w:t>
      </w:r>
    </w:p>
    <w:p w14:paraId="03F9623E">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F1115"/>
          <w:sz w:val="32"/>
          <w:szCs w:val="32"/>
          <w:shd w:val="clear" w:color="auto" w:fill="FFFFFF"/>
        </w:rPr>
      </w:pPr>
      <w:r>
        <w:rPr>
          <w:rFonts w:hint="eastAsia" w:ascii="楷体_GB2312" w:hAnsi="楷体_GB2312" w:eastAsia="楷体_GB2312" w:cs="楷体_GB2312"/>
          <w:b w:val="0"/>
          <w:bCs/>
          <w:i w:val="0"/>
          <w:snapToGrid/>
          <w:color w:val="0F1115"/>
          <w:sz w:val="32"/>
          <w:szCs w:val="32"/>
          <w:shd w:val="clear" w:color="auto" w:fill="FFFFFF"/>
        </w:rPr>
        <w:t>（三）在化解矛盾纠纷上再求突破，维护劳动关系和谐稳定</w:t>
      </w:r>
      <w:r>
        <w:rPr>
          <w:rFonts w:hint="eastAsia" w:ascii="楷体_GB2312" w:hAnsi="楷体_GB2312" w:eastAsia="楷体_GB2312" w:cs="楷体_GB2312"/>
          <w:b w:val="0"/>
          <w:bCs/>
          <w:i w:val="0"/>
          <w:snapToGrid/>
          <w:color w:val="0F1115"/>
          <w:sz w:val="32"/>
          <w:szCs w:val="32"/>
          <w:shd w:val="clear" w:color="auto" w:fill="FFFFFF"/>
          <w:lang w:eastAsia="zh-CN"/>
        </w:rPr>
        <w:t>。</w:t>
      </w:r>
      <w:r>
        <w:rPr>
          <w:rFonts w:hint="eastAsia" w:ascii="仿宋_GB2312" w:hAnsi="仿宋_GB2312" w:eastAsia="仿宋_GB2312" w:cs="仿宋_GB2312"/>
          <w:b w:val="0"/>
          <w:i w:val="0"/>
          <w:snapToGrid/>
          <w:color w:val="0F1115"/>
          <w:sz w:val="32"/>
          <w:szCs w:val="32"/>
          <w:shd w:val="clear" w:color="auto" w:fill="FFFFFF"/>
        </w:rPr>
        <w:t>推动仲裁办案提质增效，探索要素式办案</w:t>
      </w:r>
      <w:r>
        <w:rPr>
          <w:rFonts w:hint="eastAsia" w:ascii="仿宋_GB2312" w:hAnsi="仿宋_GB2312" w:eastAsia="仿宋_GB2312" w:cs="仿宋_GB2312"/>
          <w:b w:val="0"/>
          <w:i w:val="0"/>
          <w:snapToGrid/>
          <w:color w:val="0F1115"/>
          <w:sz w:val="32"/>
          <w:szCs w:val="32"/>
          <w:shd w:val="clear" w:color="auto" w:fill="FFFFFF"/>
          <w:lang w:val="en-US" w:eastAsia="zh-CN"/>
        </w:rPr>
        <w:t>形式</w:t>
      </w:r>
      <w:r>
        <w:rPr>
          <w:rFonts w:hint="eastAsia" w:ascii="仿宋_GB2312" w:hAnsi="仿宋_GB2312" w:eastAsia="仿宋_GB2312" w:cs="仿宋_GB2312"/>
          <w:b w:val="0"/>
          <w:i w:val="0"/>
          <w:snapToGrid/>
          <w:color w:val="0F1115"/>
          <w:sz w:val="32"/>
          <w:szCs w:val="32"/>
          <w:shd w:val="clear" w:color="auto" w:fill="FFFFFF"/>
        </w:rPr>
        <w:t>，加强仲裁员专业化培训。大力加强基层调解组织建设，推广“互联网+调解”模式，提升调解员队伍专业素养和调解能力。深化与司法、工会、法院等部门的协作，完善“调、裁、审”衔接机制。落实信访工作法治化要求，运用法治思维和法治方式破解信访难题，依法依规处理群众合理诉求。</w:t>
      </w:r>
    </w:p>
    <w:p w14:paraId="47C034EF">
      <w:pPr>
        <w:keepNext w:val="0"/>
        <w:keepLines w:val="0"/>
        <w:pageBreakBefore w:val="0"/>
        <w:widowControl w:val="0"/>
        <w:shd w:val="solid" w:color="FFFFFF" w:fill="auto"/>
        <w:kinsoku/>
        <w:wordWrap/>
        <w:overflowPunct/>
        <w:topLinePunct w:val="0"/>
        <w:autoSpaceDE/>
        <w:autoSpaceDN w:val="0"/>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default" w:ascii="仿宋_GB2312" w:hAnsi="仿宋_GB2312" w:eastAsia="仿宋_GB2312" w:cs="仿宋_GB2312"/>
          <w:color w:val="FF0000"/>
          <w:sz w:val="32"/>
          <w:szCs w:val="32"/>
          <w:lang w:val="en-US" w:eastAsia="zh-CN"/>
        </w:rPr>
      </w:pPr>
      <w:r>
        <w:rPr>
          <w:rFonts w:hint="eastAsia" w:ascii="楷体_GB2312" w:hAnsi="楷体_GB2312" w:eastAsia="楷体_GB2312" w:cs="楷体_GB2312"/>
          <w:b w:val="0"/>
          <w:bCs/>
          <w:i w:val="0"/>
          <w:snapToGrid/>
          <w:color w:val="0F1115"/>
          <w:sz w:val="32"/>
          <w:szCs w:val="32"/>
          <w:shd w:val="clear" w:color="auto" w:fill="FFFFFF"/>
        </w:rPr>
        <w:t>（四）在优化普法服务上再创特色，营造浓厚法治氛围。</w:t>
      </w:r>
      <w:r>
        <w:rPr>
          <w:rFonts w:hint="eastAsia" w:ascii="仿宋_GB2312" w:hAnsi="仿宋_GB2312" w:eastAsia="仿宋_GB2312" w:cs="仿宋_GB2312"/>
          <w:b w:val="0"/>
          <w:i w:val="0"/>
          <w:snapToGrid/>
          <w:color w:val="0F1115"/>
          <w:sz w:val="32"/>
          <w:szCs w:val="32"/>
          <w:shd w:val="clear" w:color="auto" w:fill="FFFFFF"/>
        </w:rPr>
        <w:t>制定精准普法责任清单，针对企业负责人、HR、劳动者等不同群体</w:t>
      </w:r>
      <w:r>
        <w:rPr>
          <w:rFonts w:hint="eastAsia" w:ascii="仿宋_GB2312" w:hAnsi="仿宋_GB2312" w:eastAsia="仿宋_GB2312" w:cs="仿宋_GB2312"/>
          <w:b w:val="0"/>
          <w:i w:val="0"/>
          <w:snapToGrid/>
          <w:color w:val="0F1115"/>
          <w:sz w:val="32"/>
          <w:szCs w:val="32"/>
          <w:shd w:val="clear" w:color="auto" w:fill="FFFFFF"/>
          <w:lang w:val="en-US" w:eastAsia="zh-CN"/>
        </w:rPr>
        <w:t>印发</w:t>
      </w:r>
      <w:r>
        <w:rPr>
          <w:rFonts w:hint="eastAsia" w:ascii="仿宋_GB2312" w:hAnsi="仿宋_GB2312" w:eastAsia="仿宋_GB2312" w:cs="仿宋_GB2312"/>
          <w:b w:val="0"/>
          <w:i w:val="0"/>
          <w:snapToGrid/>
          <w:color w:val="0F1115"/>
          <w:sz w:val="32"/>
          <w:szCs w:val="32"/>
          <w:shd w:val="clear" w:color="auto" w:fill="FFFFFF"/>
        </w:rPr>
        <w:t>普法“</w:t>
      </w:r>
      <w:r>
        <w:rPr>
          <w:rFonts w:hint="eastAsia" w:ascii="仿宋_GB2312" w:hAnsi="仿宋_GB2312" w:eastAsia="仿宋_GB2312" w:cs="仿宋_GB2312"/>
          <w:b w:val="0"/>
          <w:i w:val="0"/>
          <w:snapToGrid/>
          <w:color w:val="0F1115"/>
          <w:sz w:val="32"/>
          <w:szCs w:val="32"/>
          <w:shd w:val="clear" w:color="auto" w:fill="FFFFFF"/>
          <w:lang w:val="en-US" w:eastAsia="zh-CN"/>
        </w:rPr>
        <w:t>宣传</w:t>
      </w:r>
      <w:r>
        <w:rPr>
          <w:rFonts w:hint="eastAsia" w:ascii="仿宋_GB2312" w:hAnsi="仿宋_GB2312" w:eastAsia="仿宋_GB2312" w:cs="仿宋_GB2312"/>
          <w:b w:val="0"/>
          <w:i w:val="0"/>
          <w:snapToGrid/>
          <w:color w:val="0F1115"/>
          <w:sz w:val="32"/>
          <w:szCs w:val="32"/>
          <w:shd w:val="clear" w:color="auto" w:fill="FFFFFF"/>
        </w:rPr>
        <w:t>包”。创新普法形式，加大短视频、以案释法等新媒体普法产品的创作和推送力度。将普法深度融入业务经办、窗口服务、执法检查全过程，提供“菜单式”、“订单式”法律服务。</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750B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002A62">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vert="horz" wrap="none" lIns="0" tIns="0" rIns="0" bIns="0" upright="0">
                      <a:spAutoFit/>
                    </wps:bodyPr>
                  </wps:wsp>
                </a:graphicData>
              </a:graphic>
            </wp:anchor>
          </w:drawing>
        </mc:Choice>
        <mc:Fallback>
          <w:pict>
            <v:shape id="文本框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x6+gK9ABAACkAwAADgAAAAAAAAABACAAAAAeAQAAZHJz&#10;L2Uyb0RvYy54bWxQSwUGAAAAAAYABgBZAQAAYAUAAAAA&#10;">
              <v:fill on="f" focussize="0,0"/>
              <v:stroke on="f"/>
              <v:imagedata o:title=""/>
              <o:lock v:ext="edit" aspectratio="f"/>
              <v:textbox inset="0mm,0mm,0mm,0mm" style="mso-fit-shape-to-text:t;">
                <w:txbxContent>
                  <w:p w14:paraId="43002A62">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2C493">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F13F89"/>
    <w:multiLevelType w:val="singleLevel"/>
    <w:tmpl w:val="92F13F8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642D03"/>
    <w:rsid w:val="043D54AA"/>
    <w:rsid w:val="07B436A2"/>
    <w:rsid w:val="07C37441"/>
    <w:rsid w:val="09E55D95"/>
    <w:rsid w:val="0BFA364D"/>
    <w:rsid w:val="0F112C3E"/>
    <w:rsid w:val="108C51BC"/>
    <w:rsid w:val="184A3267"/>
    <w:rsid w:val="1A605638"/>
    <w:rsid w:val="1A9C424D"/>
    <w:rsid w:val="1C166281"/>
    <w:rsid w:val="1DE303E5"/>
    <w:rsid w:val="1FB67DFD"/>
    <w:rsid w:val="23C30A9D"/>
    <w:rsid w:val="24B14D99"/>
    <w:rsid w:val="24EF141E"/>
    <w:rsid w:val="278C48E9"/>
    <w:rsid w:val="2CF75313"/>
    <w:rsid w:val="2D376058"/>
    <w:rsid w:val="2DAE98E8"/>
    <w:rsid w:val="2EC02ED1"/>
    <w:rsid w:val="31126BC0"/>
    <w:rsid w:val="34D0301A"/>
    <w:rsid w:val="36A32976"/>
    <w:rsid w:val="3B5B5607"/>
    <w:rsid w:val="3CF63839"/>
    <w:rsid w:val="3DDF607B"/>
    <w:rsid w:val="3EFFF247"/>
    <w:rsid w:val="400C5122"/>
    <w:rsid w:val="41393CF5"/>
    <w:rsid w:val="45D466E2"/>
    <w:rsid w:val="48913615"/>
    <w:rsid w:val="4A5120AF"/>
    <w:rsid w:val="4CAA019C"/>
    <w:rsid w:val="4CAB7964"/>
    <w:rsid w:val="4DDA060D"/>
    <w:rsid w:val="4F0D7F2C"/>
    <w:rsid w:val="501778F7"/>
    <w:rsid w:val="503E1327"/>
    <w:rsid w:val="51181B78"/>
    <w:rsid w:val="52623ABC"/>
    <w:rsid w:val="52FE4D9E"/>
    <w:rsid w:val="548C4B28"/>
    <w:rsid w:val="5C930305"/>
    <w:rsid w:val="5E7E6D93"/>
    <w:rsid w:val="5F0E0117"/>
    <w:rsid w:val="5F4F0E5B"/>
    <w:rsid w:val="615D7134"/>
    <w:rsid w:val="63AB062A"/>
    <w:rsid w:val="64CC2606"/>
    <w:rsid w:val="66C33EDD"/>
    <w:rsid w:val="670CCEBA"/>
    <w:rsid w:val="6A3D3FA6"/>
    <w:rsid w:val="6B380692"/>
    <w:rsid w:val="6BFE0001"/>
    <w:rsid w:val="6C5A0E3F"/>
    <w:rsid w:val="6D282CEC"/>
    <w:rsid w:val="6F3040D9"/>
    <w:rsid w:val="6F9F78BC"/>
    <w:rsid w:val="6FF17534"/>
    <w:rsid w:val="7040659E"/>
    <w:rsid w:val="705636CC"/>
    <w:rsid w:val="70CD6084"/>
    <w:rsid w:val="74583EB6"/>
    <w:rsid w:val="7AFDFD82"/>
    <w:rsid w:val="7E7C2430"/>
    <w:rsid w:val="7FB31198"/>
    <w:rsid w:val="7FEFA3CA"/>
    <w:rsid w:val="7FFF2CCA"/>
    <w:rsid w:val="9AFFBEC6"/>
    <w:rsid w:val="AFFE190E"/>
    <w:rsid w:val="BF78C334"/>
    <w:rsid w:val="CDF611CB"/>
    <w:rsid w:val="CFFB2FD6"/>
    <w:rsid w:val="DF5FF7F3"/>
    <w:rsid w:val="E3CBD450"/>
    <w:rsid w:val="EFFE6C83"/>
    <w:rsid w:val="F75F171E"/>
    <w:rsid w:val="F7E31AA5"/>
    <w:rsid w:val="FA1F2662"/>
    <w:rsid w:val="FDF78100"/>
    <w:rsid w:val="FDF79EC0"/>
    <w:rsid w:val="FFBBF688"/>
    <w:rsid w:val="FFBF3D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5">
    <w:name w:val="Default Paragraph Font"/>
    <w:qFormat/>
    <w:uiPriority w:val="0"/>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4447</Words>
  <Characters>4487</Characters>
  <Lines>0</Lines>
  <Paragraphs>0</Paragraphs>
  <TotalTime>8</TotalTime>
  <ScaleCrop>false</ScaleCrop>
  <LinksUpToDate>false</LinksUpToDate>
  <CharactersWithSpaces>4488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2012-06-07T17:30:00Z</dcterms:created>
  <dc:creator>Lenovo</dc:creator>
  <cp:lastModifiedBy>huanghe</cp:lastModifiedBy>
  <dcterms:modified xsi:type="dcterms:W3CDTF">2026-04-24T09:15:52Z</dcterms:modified>
  <dc:title>2025年度述法报告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eyJoZGlkIjoiY2M2YmZmODVkNGM3ZDkzZTVkZTE0MDkzN2U1NzYyYmQiLCJ1c2VySWQiOiIyNDQ5ODI5NDEifQ==</vt:lpwstr>
  </property>
  <property fmtid="{D5CDD505-2E9C-101B-9397-08002B2CF9AE}" pid="4" name="ICV">
    <vt:lpwstr>266D2B05ADCED78731B1DD69041F9464</vt:lpwstr>
  </property>
</Properties>
</file>