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黑体_GBK" w:hAnsi="黑体" w:eastAsia="方正黑体_GBK" w:cs="黑体"/>
          <w:sz w:val="28"/>
          <w:szCs w:val="28"/>
          <w:lang w:val="en-US" w:eastAsia="zh-CN"/>
        </w:rPr>
      </w:pPr>
      <w:r>
        <w:rPr>
          <w:rFonts w:hint="eastAsia" w:ascii="方正黑体_GBK" w:hAnsi="黑体" w:eastAsia="方正黑体_GBK" w:cs="黑体"/>
          <w:sz w:val="28"/>
          <w:szCs w:val="28"/>
          <w:lang w:eastAsia="zh-CN"/>
        </w:rPr>
        <w:t>附件</w:t>
      </w:r>
      <w:r>
        <w:rPr>
          <w:rFonts w:hint="eastAsia" w:ascii="方正黑体_GBK" w:hAnsi="黑体" w:eastAsia="方正黑体_GBK" w:cs="黑体"/>
          <w:sz w:val="28"/>
          <w:szCs w:val="28"/>
          <w:lang w:val="en-US" w:eastAsia="zh-CN"/>
        </w:rPr>
        <w:t>2：</w:t>
      </w:r>
    </w:p>
    <w:p>
      <w:pPr>
        <w:jc w:val="center"/>
        <w:rPr>
          <w:rFonts w:hint="eastAsia"/>
          <w:b/>
          <w:bCs/>
          <w:sz w:val="36"/>
        </w:rPr>
      </w:pPr>
      <w:bookmarkStart w:id="0" w:name="_GoBack"/>
      <w:r>
        <w:rPr>
          <w:rFonts w:hint="eastAsia" w:ascii="方正黑体_GBK" w:hAnsi="黑体" w:eastAsia="方正黑体_GBK" w:cs="黑体"/>
          <w:sz w:val="36"/>
          <w:szCs w:val="36"/>
          <w:lang w:eastAsia="zh-CN"/>
        </w:rPr>
        <w:t>建安区</w:t>
      </w:r>
      <w:r>
        <w:rPr>
          <w:rFonts w:hint="eastAsia" w:ascii="方正黑体_GBK" w:hAnsi="黑体" w:eastAsia="方正黑体_GBK" w:cs="黑体"/>
          <w:sz w:val="36"/>
          <w:szCs w:val="36"/>
        </w:rPr>
        <w:t>消防安全重点单位备案申报表</w:t>
      </w:r>
      <w:bookmarkEnd w:id="0"/>
    </w:p>
    <w:tbl>
      <w:tblPr>
        <w:tblStyle w:val="7"/>
        <w:tblpPr w:leftFromText="180" w:rightFromText="180" w:vertAnchor="text" w:horzAnchor="page" w:tblpX="1440" w:tblpY="182"/>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217"/>
        <w:gridCol w:w="706"/>
        <w:gridCol w:w="3185"/>
        <w:gridCol w:w="156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43" w:type="dxa"/>
            <w:gridSpan w:val="2"/>
            <w:noWrap w:val="0"/>
            <w:vAlign w:val="center"/>
          </w:tcPr>
          <w:p>
            <w:pPr>
              <w:jc w:val="center"/>
              <w:rPr>
                <w:rFonts w:eastAsia="方正仿宋_GBK"/>
                <w:sz w:val="18"/>
                <w:szCs w:val="18"/>
              </w:rPr>
            </w:pPr>
            <w:r>
              <w:rPr>
                <w:rFonts w:eastAsia="方正仿宋_GBK"/>
                <w:sz w:val="18"/>
                <w:szCs w:val="18"/>
              </w:rPr>
              <w:t>单位名称</w:t>
            </w:r>
          </w:p>
        </w:tc>
        <w:tc>
          <w:tcPr>
            <w:tcW w:w="3891" w:type="dxa"/>
            <w:gridSpan w:val="2"/>
            <w:noWrap w:val="0"/>
            <w:vAlign w:val="center"/>
          </w:tcPr>
          <w:p>
            <w:pPr>
              <w:jc w:val="center"/>
              <w:rPr>
                <w:rFonts w:eastAsia="方正仿宋_GBK"/>
                <w:sz w:val="18"/>
                <w:szCs w:val="18"/>
              </w:rPr>
            </w:pPr>
          </w:p>
        </w:tc>
        <w:tc>
          <w:tcPr>
            <w:tcW w:w="1563" w:type="dxa"/>
            <w:noWrap w:val="0"/>
            <w:vAlign w:val="center"/>
          </w:tcPr>
          <w:p>
            <w:pPr>
              <w:jc w:val="center"/>
              <w:rPr>
                <w:rFonts w:eastAsia="方正仿宋_GBK"/>
                <w:sz w:val="18"/>
                <w:szCs w:val="18"/>
              </w:rPr>
            </w:pPr>
            <w:r>
              <w:rPr>
                <w:rFonts w:eastAsia="方正仿宋_GBK"/>
                <w:sz w:val="18"/>
                <w:szCs w:val="18"/>
              </w:rPr>
              <w:t>联系电话</w:t>
            </w:r>
          </w:p>
        </w:tc>
        <w:tc>
          <w:tcPr>
            <w:tcW w:w="198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743" w:type="dxa"/>
            <w:gridSpan w:val="2"/>
            <w:noWrap w:val="0"/>
            <w:vAlign w:val="center"/>
          </w:tcPr>
          <w:p>
            <w:pPr>
              <w:jc w:val="center"/>
              <w:rPr>
                <w:rFonts w:eastAsia="方正仿宋_GBK"/>
                <w:sz w:val="18"/>
                <w:szCs w:val="18"/>
              </w:rPr>
            </w:pPr>
            <w:r>
              <w:rPr>
                <w:rFonts w:eastAsia="方正仿宋_GBK"/>
                <w:sz w:val="18"/>
                <w:szCs w:val="18"/>
              </w:rPr>
              <w:t>地    址</w:t>
            </w:r>
          </w:p>
        </w:tc>
        <w:tc>
          <w:tcPr>
            <w:tcW w:w="3891" w:type="dxa"/>
            <w:gridSpan w:val="2"/>
            <w:noWrap w:val="0"/>
            <w:vAlign w:val="center"/>
          </w:tcPr>
          <w:p>
            <w:pPr>
              <w:keepNext w:val="0"/>
              <w:keepLines w:val="0"/>
              <w:widowControl/>
              <w:suppressLineNumbers w:val="0"/>
              <w:jc w:val="center"/>
              <w:textAlignment w:val="center"/>
              <w:rPr>
                <w:rFonts w:ascii="仿宋_GB2312" w:hAnsi="宋体" w:eastAsia="仿宋_GB2312" w:cs="仿宋_GB2312"/>
                <w:i w:val="0"/>
                <w:color w:val="000000"/>
                <w:kern w:val="2"/>
                <w:sz w:val="20"/>
                <w:szCs w:val="20"/>
                <w:u w:val="none"/>
                <w:lang w:val="en-US" w:eastAsia="zh-CN" w:bidi="ar-SA"/>
              </w:rPr>
            </w:pPr>
          </w:p>
        </w:tc>
        <w:tc>
          <w:tcPr>
            <w:tcW w:w="1563" w:type="dxa"/>
            <w:noWrap w:val="0"/>
            <w:vAlign w:val="center"/>
          </w:tcPr>
          <w:p>
            <w:pPr>
              <w:jc w:val="center"/>
              <w:rPr>
                <w:rFonts w:eastAsia="方正仿宋_GBK"/>
                <w:sz w:val="18"/>
                <w:szCs w:val="18"/>
              </w:rPr>
            </w:pPr>
            <w:r>
              <w:rPr>
                <w:rFonts w:eastAsia="方正仿宋_GBK"/>
                <w:sz w:val="18"/>
                <w:szCs w:val="18"/>
              </w:rPr>
              <w:t>邮    编</w:t>
            </w:r>
          </w:p>
        </w:tc>
        <w:tc>
          <w:tcPr>
            <w:tcW w:w="1983" w:type="dxa"/>
            <w:noWrap w:val="0"/>
            <w:vAlign w:val="center"/>
          </w:tcPr>
          <w:p>
            <w:pPr>
              <w:jc w:val="center"/>
              <w:rPr>
                <w:rFonts w:hint="default" w:eastAsia="方正仿宋_GBK"/>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449" w:type="dxa"/>
            <w:gridSpan w:val="3"/>
            <w:noWrap w:val="0"/>
            <w:vAlign w:val="center"/>
          </w:tcPr>
          <w:p>
            <w:pPr>
              <w:rPr>
                <w:rFonts w:eastAsia="方正仿宋_GBK"/>
                <w:sz w:val="18"/>
                <w:szCs w:val="18"/>
              </w:rPr>
            </w:pPr>
            <w:r>
              <w:rPr>
                <w:rFonts w:eastAsia="方正仿宋_GBK"/>
                <w:sz w:val="18"/>
                <w:szCs w:val="18"/>
              </w:rPr>
              <w:t>是否原消防重点单位</w:t>
            </w:r>
          </w:p>
        </w:tc>
        <w:tc>
          <w:tcPr>
            <w:tcW w:w="6731" w:type="dxa"/>
            <w:gridSpan w:val="3"/>
            <w:noWrap w:val="0"/>
            <w:vAlign w:val="center"/>
          </w:tcPr>
          <w:p>
            <w:pPr>
              <w:rPr>
                <w:rFonts w:eastAsia="方正仿宋_GBK"/>
                <w:sz w:val="18"/>
                <w:szCs w:val="18"/>
              </w:rPr>
            </w:pPr>
            <w:r>
              <w:rPr>
                <w:rFonts w:eastAsia="方正仿宋_GBK"/>
                <w:sz w:val="18"/>
                <w:szCs w:val="18"/>
              </w:rPr>
              <w:t>□否      □区、县消防重点单位      □市消防重点单位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restart"/>
            <w:noWrap w:val="0"/>
            <w:vAlign w:val="center"/>
          </w:tcPr>
          <w:p>
            <w:pPr>
              <w:rPr>
                <w:rFonts w:eastAsia="方正仿宋_GBK"/>
                <w:sz w:val="18"/>
                <w:szCs w:val="18"/>
              </w:rPr>
            </w:pPr>
            <w:r>
              <w:rPr>
                <w:rFonts w:eastAsia="方正仿宋_GBK"/>
                <w:sz w:val="18"/>
                <w:szCs w:val="18"/>
              </w:rPr>
              <w:t>申</w:t>
            </w:r>
          </w:p>
          <w:p>
            <w:pPr>
              <w:rPr>
                <w:rFonts w:eastAsia="方正仿宋_GBK"/>
                <w:sz w:val="18"/>
                <w:szCs w:val="18"/>
              </w:rPr>
            </w:pPr>
          </w:p>
          <w:p>
            <w:pPr>
              <w:rPr>
                <w:rFonts w:eastAsia="方正仿宋_GBK"/>
                <w:sz w:val="18"/>
                <w:szCs w:val="18"/>
              </w:rPr>
            </w:pPr>
          </w:p>
          <w:p>
            <w:pPr>
              <w:rPr>
                <w:rFonts w:eastAsia="方正仿宋_GBK"/>
                <w:sz w:val="18"/>
                <w:szCs w:val="18"/>
              </w:rPr>
            </w:pPr>
            <w:r>
              <w:rPr>
                <w:rFonts w:eastAsia="方正仿宋_GBK"/>
                <w:sz w:val="18"/>
                <w:szCs w:val="18"/>
              </w:rPr>
              <w:t>报</w:t>
            </w:r>
          </w:p>
          <w:p>
            <w:pPr>
              <w:rPr>
                <w:rFonts w:eastAsia="方正仿宋_GBK"/>
                <w:sz w:val="18"/>
                <w:szCs w:val="18"/>
              </w:rPr>
            </w:pPr>
          </w:p>
          <w:p>
            <w:pPr>
              <w:rPr>
                <w:rFonts w:eastAsia="方正仿宋_GBK"/>
                <w:sz w:val="18"/>
                <w:szCs w:val="18"/>
              </w:rPr>
            </w:pPr>
          </w:p>
          <w:p>
            <w:pPr>
              <w:rPr>
                <w:rFonts w:eastAsia="方正仿宋_GBK"/>
                <w:sz w:val="18"/>
                <w:szCs w:val="18"/>
              </w:rPr>
            </w:pPr>
            <w:r>
              <w:rPr>
                <w:rFonts w:eastAsia="方正仿宋_GBK"/>
                <w:sz w:val="18"/>
                <w:szCs w:val="18"/>
              </w:rPr>
              <w:t>单</w:t>
            </w:r>
          </w:p>
          <w:p>
            <w:pPr>
              <w:rPr>
                <w:rFonts w:eastAsia="方正仿宋_GBK"/>
                <w:sz w:val="18"/>
                <w:szCs w:val="18"/>
              </w:rPr>
            </w:pPr>
          </w:p>
          <w:p>
            <w:pPr>
              <w:rPr>
                <w:rFonts w:eastAsia="方正仿宋_GBK"/>
                <w:sz w:val="18"/>
                <w:szCs w:val="18"/>
              </w:rPr>
            </w:pPr>
          </w:p>
          <w:p>
            <w:pPr>
              <w:rPr>
                <w:rFonts w:eastAsia="方正仿宋_GBK"/>
                <w:sz w:val="18"/>
                <w:szCs w:val="18"/>
              </w:rPr>
            </w:pPr>
            <w:r>
              <w:rPr>
                <w:rFonts w:eastAsia="方正仿宋_GBK"/>
                <w:sz w:val="18"/>
                <w:szCs w:val="18"/>
              </w:rPr>
              <w:t>位</w:t>
            </w:r>
          </w:p>
          <w:p>
            <w:pPr>
              <w:rPr>
                <w:rFonts w:eastAsia="方正仿宋_GBK"/>
                <w:sz w:val="18"/>
                <w:szCs w:val="18"/>
              </w:rPr>
            </w:pPr>
          </w:p>
          <w:p>
            <w:pPr>
              <w:rPr>
                <w:rFonts w:eastAsia="方正仿宋_GBK"/>
                <w:sz w:val="18"/>
                <w:szCs w:val="18"/>
              </w:rPr>
            </w:pPr>
          </w:p>
          <w:p>
            <w:pPr>
              <w:rPr>
                <w:rFonts w:eastAsia="方正仿宋_GBK"/>
                <w:sz w:val="18"/>
                <w:szCs w:val="18"/>
              </w:rPr>
            </w:pPr>
            <w:r>
              <w:rPr>
                <w:rFonts w:eastAsia="方正仿宋_GBK"/>
                <w:sz w:val="18"/>
                <w:szCs w:val="18"/>
              </w:rPr>
              <w:t>属</w:t>
            </w:r>
          </w:p>
          <w:p>
            <w:pPr>
              <w:rPr>
                <w:rFonts w:eastAsia="方正仿宋_GBK"/>
                <w:sz w:val="18"/>
                <w:szCs w:val="18"/>
              </w:rPr>
            </w:pPr>
          </w:p>
          <w:p>
            <w:pPr>
              <w:rPr>
                <w:rFonts w:eastAsia="方正仿宋_GBK"/>
                <w:sz w:val="18"/>
                <w:szCs w:val="18"/>
              </w:rPr>
            </w:pPr>
          </w:p>
          <w:p>
            <w:pPr>
              <w:rPr>
                <w:rFonts w:eastAsia="方正仿宋_GBK"/>
                <w:sz w:val="18"/>
                <w:szCs w:val="18"/>
              </w:rPr>
            </w:pPr>
            <w:r>
              <w:rPr>
                <w:rFonts w:eastAsia="方正仿宋_GBK"/>
                <w:sz w:val="18"/>
                <w:szCs w:val="18"/>
              </w:rPr>
              <w:t>性</w:t>
            </w:r>
          </w:p>
        </w:tc>
        <w:tc>
          <w:tcPr>
            <w:tcW w:w="8654" w:type="dxa"/>
            <w:gridSpan w:val="5"/>
            <w:noWrap w:val="0"/>
            <w:vAlign w:val="center"/>
          </w:tcPr>
          <w:p>
            <w:pPr>
              <w:adjustRightInd w:val="0"/>
              <w:snapToGrid w:val="0"/>
              <w:spacing w:line="360" w:lineRule="atLeast"/>
              <w:rPr>
                <w:rFonts w:eastAsia="方正仿宋_GBK"/>
                <w:sz w:val="18"/>
                <w:szCs w:val="18"/>
              </w:rPr>
            </w:pPr>
            <w:r>
              <w:rPr>
                <w:rFonts w:hint="eastAsia" w:eastAsia="方正仿宋_GBK"/>
                <w:sz w:val="18"/>
                <w:szCs w:val="18"/>
                <w:lang w:eastAsia="zh-CN"/>
              </w:rPr>
              <w:t>□</w:t>
            </w:r>
            <w:r>
              <w:rPr>
                <w:rFonts w:eastAsia="方正仿宋_GBK"/>
                <w:sz w:val="18"/>
                <w:szCs w:val="18"/>
              </w:rPr>
              <w:t>建筑面积在1000平方米以上且经营可燃商品的商场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□客房数在50间以上，或客房数在50间以下但设有商场、歌舞娱乐、餐饮场所等且建筑面积大于2000平方米的宾馆、饭店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□公共的体育场馆、会堂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□建筑面积在200平方米以上的下列公共娱乐场所：1、影剧院、放映厅、礼堂等演出放映场所；2、舞厅、KTV等歌舞娱乐场所；3、具有娱乐功能的夜总会、音乐茶座和餐饮场所；4、游艺、游乐场所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□建筑面积在500平方米以上的足浴、美容院、桑拿浴室（洗浴部分面积除外）等营业性健身、休闲场所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□住院床位在50张以上的医疗保健机构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 xml:space="preserve">□学生住宿床位在100张以上的学校   □幼儿住宿床位在50张以上的托儿所、幼儿园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 xml:space="preserve">□县级以上广播电台、电视台  □县级以上邮政、通信枢纽单位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 xml:space="preserve">□县级以上的党委、人大、政府、政协  □县级以上人民检察院、人民法院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□建筑面积在500平方米以上的客运车站侯车厅、客运码头候船厅      □民用机场航站楼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 xml:space="preserve">□公共博物馆，档案馆      □具有火灾危险性的县级以上文物保护单位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360" w:lineRule="atLeast"/>
              <w:rPr>
                <w:rFonts w:eastAsia="方正仿宋_GBK"/>
                <w:sz w:val="18"/>
                <w:szCs w:val="18"/>
              </w:rPr>
            </w:pPr>
            <w:r>
              <w:rPr>
                <w:rFonts w:eastAsia="方正仿宋_GBK"/>
                <w:sz w:val="18"/>
                <w:szCs w:val="18"/>
              </w:rPr>
              <w:t>□建筑面积在2000平方米以上的公共图书馆、展览馆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spacing w:line="260" w:lineRule="exact"/>
              <w:rPr>
                <w:rFonts w:eastAsia="方正仿宋_GBK"/>
                <w:sz w:val="18"/>
                <w:szCs w:val="18"/>
              </w:rPr>
            </w:pPr>
            <w:r>
              <w:rPr>
                <w:rFonts w:eastAsia="方正仿宋_GBK"/>
                <w:sz w:val="18"/>
                <w:szCs w:val="18"/>
              </w:rPr>
              <w:t>□发电厂（站）和电网经营企业</w:t>
            </w:r>
            <w:r>
              <w:rPr>
                <w:rFonts w:eastAsia="方正仿宋_GBK"/>
                <w:sz w:val="18"/>
                <w:szCs w:val="18"/>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260" w:lineRule="atLeast"/>
              <w:rPr>
                <w:rFonts w:eastAsia="方正仿宋_GBK"/>
                <w:sz w:val="18"/>
                <w:szCs w:val="18"/>
              </w:rPr>
            </w:pPr>
            <w:r>
              <w:rPr>
                <w:rFonts w:eastAsia="方正仿宋_GBK"/>
                <w:sz w:val="18"/>
                <w:szCs w:val="18"/>
              </w:rPr>
              <w:t>□生产易燃易爆化学物品的工厂      □易燃易爆气体和液体灌装站和调压站         □储存易燃易爆化学物品的专用仓库  □营业性加油站、加气站，液化石油气供应站（换瓶站） □经营甲、乙类易燃易爆化学物品，营业面积在300平方米以上或者站内总存量300公斤或5立方米以上的商店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spacing w:line="420" w:lineRule="exact"/>
              <w:rPr>
                <w:rFonts w:eastAsia="方正仿宋_GBK"/>
                <w:sz w:val="18"/>
                <w:szCs w:val="18"/>
              </w:rPr>
            </w:pPr>
            <w:r>
              <w:rPr>
                <w:rFonts w:eastAsia="方正仿宋_GBK"/>
                <w:sz w:val="18"/>
                <w:szCs w:val="18"/>
              </w:rPr>
              <w:t>□单个生产车间员工在100人以上的服装、鞋帽、玩具、食品等劳动密集型企业</w:t>
            </w:r>
            <w:r>
              <w:rPr>
                <w:rFonts w:eastAsia="方正仿宋_GBK"/>
                <w:sz w:val="18"/>
                <w:szCs w:val="18"/>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260" w:lineRule="atLeast"/>
              <w:rPr>
                <w:rFonts w:eastAsia="方正仿宋_GBK"/>
                <w:sz w:val="18"/>
                <w:szCs w:val="18"/>
              </w:rPr>
            </w:pPr>
            <w:r>
              <w:rPr>
                <w:rFonts w:eastAsia="方正仿宋_GBK"/>
                <w:sz w:val="18"/>
                <w:szCs w:val="18"/>
              </w:rPr>
              <w:t>□国家和省级科研单位   □国家和省级等重点建筑工程的施工现场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spacing w:line="320" w:lineRule="exact"/>
              <w:rPr>
                <w:rFonts w:eastAsia="方正仿宋_GBK"/>
                <w:sz w:val="18"/>
                <w:szCs w:val="18"/>
              </w:rPr>
            </w:pPr>
            <w:r>
              <w:rPr>
                <w:rFonts w:eastAsia="方正仿宋_GBK"/>
                <w:sz w:val="18"/>
                <w:szCs w:val="18"/>
              </w:rPr>
              <w:t xml:space="preserve">□高层公共建筑建筑高度在50米以上的办公楼（写字楼）、公寓楼等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260" w:lineRule="atLeast"/>
              <w:rPr>
                <w:rFonts w:eastAsia="方正仿宋_GBK"/>
                <w:sz w:val="18"/>
                <w:szCs w:val="18"/>
              </w:rPr>
            </w:pPr>
            <w:r>
              <w:rPr>
                <w:rFonts w:eastAsia="方正仿宋_GBK"/>
                <w:sz w:val="18"/>
                <w:szCs w:val="18"/>
              </w:rPr>
              <w:t>□城市地下铁道、地下观光隧道等地下公共建筑和城市重要的交通隧道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260" w:lineRule="atLeast"/>
              <w:rPr>
                <w:rFonts w:eastAsia="方正仿宋_GBK"/>
                <w:sz w:val="18"/>
                <w:szCs w:val="18"/>
              </w:rPr>
            </w:pPr>
            <w:r>
              <w:rPr>
                <w:rFonts w:eastAsia="方正仿宋_GBK"/>
                <w:sz w:val="18"/>
                <w:szCs w:val="18"/>
              </w:rPr>
              <w:t>□国家储备粮库、总储量在10000吨以上的其他粮库   □总储量在500吨以上的棉库   □总储量在10000立方米以上的木材堆场   □总储存价值在1亿元以上的可燃物品仓库、堆场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526" w:type="dxa"/>
            <w:vMerge w:val="continue"/>
            <w:noWrap w:val="0"/>
            <w:vAlign w:val="center"/>
          </w:tcPr>
          <w:p>
            <w:pPr>
              <w:rPr>
                <w:rFonts w:eastAsia="方正仿宋_GBK"/>
                <w:sz w:val="18"/>
                <w:szCs w:val="18"/>
              </w:rPr>
            </w:pPr>
          </w:p>
        </w:tc>
        <w:tc>
          <w:tcPr>
            <w:tcW w:w="8654" w:type="dxa"/>
            <w:gridSpan w:val="5"/>
            <w:noWrap w:val="0"/>
            <w:vAlign w:val="center"/>
          </w:tcPr>
          <w:p>
            <w:pPr>
              <w:adjustRightInd w:val="0"/>
              <w:snapToGrid w:val="0"/>
              <w:spacing w:line="260" w:lineRule="atLeast"/>
              <w:rPr>
                <w:rFonts w:eastAsia="方正仿宋_GBK"/>
                <w:sz w:val="18"/>
                <w:szCs w:val="18"/>
              </w:rPr>
            </w:pPr>
            <w:r>
              <w:rPr>
                <w:rFonts w:eastAsia="方正仿宋_GBK"/>
                <w:sz w:val="18"/>
                <w:szCs w:val="18"/>
              </w:rPr>
              <w:t>□其他发生火灾可能性较大以及一旦发生火灾可能造成人身重大伤亡或者财产重大损失的单位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180" w:type="dxa"/>
            <w:gridSpan w:val="6"/>
            <w:noWrap w:val="0"/>
            <w:vAlign w:val="top"/>
          </w:tcPr>
          <w:p>
            <w:pPr>
              <w:rPr>
                <w:rFonts w:eastAsia="方正仿宋_GBK"/>
                <w:sz w:val="18"/>
                <w:szCs w:val="18"/>
              </w:rPr>
            </w:pPr>
            <w:r>
              <w:rPr>
                <w:rFonts w:eastAsia="方正仿宋_GBK"/>
                <w:sz w:val="18"/>
                <w:szCs w:val="18"/>
              </w:rPr>
              <w:t>根据《机关、团体、企业、事业单位消防安全管理规定》（公安部令第61号），我单位属于第十三条所列的范围之内，现申报备案。</w:t>
            </w:r>
          </w:p>
          <w:p>
            <w:pPr>
              <w:ind w:firstLine="3787" w:firstLineChars="2104"/>
              <w:rPr>
                <w:rFonts w:eastAsia="方正仿宋_GBK"/>
                <w:sz w:val="18"/>
                <w:szCs w:val="18"/>
              </w:rPr>
            </w:pPr>
            <w:r>
              <w:rPr>
                <w:rFonts w:eastAsia="方正仿宋_GBK"/>
                <w:sz w:val="18"/>
                <w:szCs w:val="18"/>
              </w:rPr>
              <w:t xml:space="preserve"> 单位（盖章）：</w:t>
            </w:r>
          </w:p>
          <w:p>
            <w:pPr>
              <w:spacing w:after="120" w:afterLines="50"/>
              <w:ind w:firstLine="437"/>
              <w:rPr>
                <w:rFonts w:eastAsia="方正仿宋_GBK"/>
                <w:sz w:val="18"/>
                <w:szCs w:val="18"/>
              </w:rPr>
            </w:pPr>
            <w:r>
              <w:rPr>
                <w:rFonts w:eastAsia="方正仿宋_GBK"/>
                <w:sz w:val="18"/>
                <w:szCs w:val="18"/>
              </w:rPr>
              <w:t xml:space="preserve">                                      法定代表人（签字）：</w:t>
            </w:r>
          </w:p>
        </w:tc>
      </w:tr>
    </w:tbl>
    <w:p>
      <w:pPr>
        <w:rPr>
          <w:rFonts w:hint="eastAsia"/>
          <w:lang w:val="en-US" w:eastAsia="zh-CN"/>
        </w:rPr>
      </w:pPr>
      <w:r>
        <w:rPr>
          <w:rFonts w:hint="eastAsia" w:ascii="方正楷体_GBK" w:eastAsia="方正楷体_GBK"/>
          <w:sz w:val="18"/>
          <w:szCs w:val="18"/>
        </w:rPr>
        <w:t>注：1、各单位自行对照，并在申报单位属性栏内选择一项打“√”。2、公共娱乐场所是指向公众开放的下列室内场所:(一)影剧院、录像厅、礼堂等演出、放映场所(二)舞厅、卡拉OK厅等歌舞娱乐场所(三)具有娱乐功能的夜总会、音乐茶座和餐饮场所(四)游艺、游乐场所(五)保龄球馆、旱冰场、桑拿浴室等营业性健身、休闲场所。</w:t>
      </w:r>
    </w:p>
    <w:sectPr>
      <w:pgSz w:w="11906" w:h="16838"/>
      <w:pgMar w:top="1440" w:right="1474"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MzY3ZDkxYWU4ZDRkMmMxMGVlMjIxZmQwYzVmMDEifQ=="/>
    <w:docVar w:name="KSO_WPS_MARK_KEY" w:val="a28da43d-4da2-4d68-9eb1-f291134c18b5"/>
  </w:docVars>
  <w:rsids>
    <w:rsidRoot w:val="19116E10"/>
    <w:rsid w:val="045C354F"/>
    <w:rsid w:val="07DE071F"/>
    <w:rsid w:val="0A565CBD"/>
    <w:rsid w:val="12DE2917"/>
    <w:rsid w:val="19116E10"/>
    <w:rsid w:val="1F010B23"/>
    <w:rsid w:val="1F3802BD"/>
    <w:rsid w:val="25E20F82"/>
    <w:rsid w:val="28E82D54"/>
    <w:rsid w:val="2DCC1DCA"/>
    <w:rsid w:val="2F163353"/>
    <w:rsid w:val="36017203"/>
    <w:rsid w:val="3BEE1FD7"/>
    <w:rsid w:val="44623562"/>
    <w:rsid w:val="456048E3"/>
    <w:rsid w:val="4AD95B34"/>
    <w:rsid w:val="4D93076E"/>
    <w:rsid w:val="4FF736F9"/>
    <w:rsid w:val="5B7E6A73"/>
    <w:rsid w:val="6085228D"/>
    <w:rsid w:val="628A3F58"/>
    <w:rsid w:val="648669A1"/>
    <w:rsid w:val="650A1380"/>
    <w:rsid w:val="6784541A"/>
    <w:rsid w:val="69605A13"/>
    <w:rsid w:val="6B4E0C63"/>
    <w:rsid w:val="6B67752D"/>
    <w:rsid w:val="6C692E30"/>
    <w:rsid w:val="6CED5810"/>
    <w:rsid w:val="6F6618A9"/>
    <w:rsid w:val="6FD74555"/>
    <w:rsid w:val="70DF1913"/>
    <w:rsid w:val="76E504FC"/>
    <w:rsid w:val="7E2E4C53"/>
    <w:rsid w:val="7E9E4BBC"/>
    <w:rsid w:val="7ED4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line="360" w:lineRule="auto"/>
    </w:pPr>
    <w:rPr>
      <w:rFonts w:eastAsia="黑体" w:cs="黑体"/>
    </w:rPr>
  </w:style>
  <w:style w:type="paragraph" w:styleId="3">
    <w:name w:val="Body Text 2"/>
    <w:basedOn w:val="1"/>
    <w:next w:val="2"/>
    <w:qFormat/>
    <w:uiPriority w:val="99"/>
    <w:pPr>
      <w:spacing w:after="120" w:afterLines="0" w:line="480" w:lineRule="auto"/>
    </w:pPr>
  </w:style>
  <w:style w:type="paragraph" w:styleId="4">
    <w:name w:val="Plain Text"/>
    <w:basedOn w:val="1"/>
    <w:autoRedefine/>
    <w:qFormat/>
    <w:uiPriority w:val="99"/>
    <w:rPr>
      <w:rFonts w:ascii="宋体" w:hAnsi="Courier New" w:eastAsia="宋体"/>
      <w:sz w:val="21"/>
      <w:szCs w:val="21"/>
    </w:rPr>
  </w:style>
  <w:style w:type="paragraph" w:styleId="5">
    <w:name w:val="footer"/>
    <w:basedOn w:val="1"/>
    <w:autoRedefine/>
    <w:qFormat/>
    <w:uiPriority w:val="99"/>
    <w:pPr>
      <w:tabs>
        <w:tab w:val="center" w:pos="4153"/>
        <w:tab w:val="right" w:pos="8306"/>
      </w:tabs>
      <w:snapToGrid w:val="0"/>
      <w:jc w:val="left"/>
    </w:pPr>
    <w:rPr>
      <w:sz w:val="18"/>
      <w:szCs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Hyperlink"/>
    <w:autoRedefine/>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3336</Words>
  <Characters>3511</Characters>
  <Lines>0</Lines>
  <Paragraphs>0</Paragraphs>
  <TotalTime>13</TotalTime>
  <ScaleCrop>false</ScaleCrop>
  <LinksUpToDate>false</LinksUpToDate>
  <CharactersWithSpaces>3633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2024-01-29T06:43:00Z</dcterms:created>
  <dc:creator>Administrator</dc:creator>
  <cp:lastModifiedBy>Administrator</cp:lastModifiedBy>
  <dcterms:modified xsi:type="dcterms:W3CDTF">2024-03-20T01:34:59Z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5B7FCE7D1CFE498AAD86298E4D7A7FF0_13</vt:lpwstr>
  </property>
</Properties>
</file>