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263" w:lineRule="atLeast"/>
        <w:jc w:val="center"/>
        <w:rPr>
          <w:color w:val="444444"/>
          <w:sz w:val="36"/>
          <w:szCs w:val="36"/>
        </w:rPr>
      </w:pPr>
      <w:r>
        <w:rPr>
          <w:rFonts w:ascii="宋体" w:hAnsi="宋体" w:eastAsia="宋体" w:cs="宋体"/>
          <w:color w:val="444444"/>
          <w:kern w:val="0"/>
          <w:sz w:val="36"/>
          <w:szCs w:val="36"/>
          <w:bdr w:val="none" w:color="auto" w:sz="0" w:space="0"/>
          <w:lang w:val="en-US" w:eastAsia="zh-CN" w:bidi="ar"/>
        </w:rPr>
        <w:t>危改户认定程序</w:t>
      </w:r>
    </w:p>
    <w:p>
      <w:pPr>
        <w:pStyle w:val="2"/>
        <w:keepNext w:val="0"/>
        <w:keepLines w:val="0"/>
        <w:widowControl/>
        <w:suppressLineNumbers w:val="0"/>
        <w:spacing w:line="420" w:lineRule="atLeast"/>
        <w:ind w:left="0" w:firstLine="420"/>
        <w:jc w:val="left"/>
      </w:pPr>
      <w:r>
        <w:rPr>
          <w:sz w:val="27"/>
          <w:szCs w:val="27"/>
          <w:bdr w:val="none" w:color="auto" w:sz="0" w:space="0"/>
        </w:rPr>
        <w:t>民政部门负责认定农村低保户、农村分散供养特困人员、农村低保边缘家庭；乡村振兴（扶贫）部门会同有关部门负责认定因病因灾因意外事故等刚性支出较大或收入大幅缩减导致基本生活出现严重困难家庭；乡村振兴（扶贫）部门负责认定农村易返贫致贫户、符合条件的其他脱贫户。</w:t>
      </w:r>
    </w:p>
    <w:p>
      <w:pPr>
        <w:pStyle w:val="2"/>
        <w:keepNext w:val="0"/>
        <w:keepLines w:val="0"/>
        <w:widowControl/>
        <w:suppressLineNumbers w:val="0"/>
        <w:spacing w:line="420" w:lineRule="atLeas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Nzc5NDYwZGY1MDYzYjkxODM2MmMxMTExZTBlOTEifQ=="/>
  </w:docVars>
  <w:rsids>
    <w:rsidRoot w:val="00000000"/>
    <w:rsid w:val="3B312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2022-09-23T13:56:57Z</dcterms:created>
  <dc:creator>Administrator</dc:creator>
  <cp:lastModifiedBy>头像是我家宝贝</cp:lastModifiedBy>
  <dcterms:modified xsi:type="dcterms:W3CDTF">2022-09-23T13:57:09Z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64F2A81043814C41AECA0236294D578D</vt:lpwstr>
  </property>
</Properties>
</file>