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关于农村危房改造条件与标准的更新情况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说明</w:t>
      </w:r>
    </w:p>
    <w:p w14:paraId="531B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</w:rPr>
      </w:pPr>
    </w:p>
    <w:p w14:paraId="7D94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截至2024年8月，根据本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位实际情况，暂无新内容更新，待有产生这方面新的信息时，及时更新，特此说明。</w:t>
      </w:r>
    </w:p>
    <w:sectPr>
      <w:pgSz w:w="11880" w:h="24780"/>
      <w:pgMar w:top="1800" w:right="1440" w:bottom="180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180B380C"/>
    <w:rsid w:val="188D2349"/>
    <w:rsid w:val="58205C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66</Characters>
  <TotalTime>3</TotalTime>
  <ScaleCrop>false</ScaleCrop>
  <LinksUpToDate>false</LinksUpToDate>
  <CharactersWithSpaces>66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2024-09-05T07:44:00Z</dcterms:created>
  <dc:creator>openxml-sdk </dc:creator>
  <dc:description>openxml-sdk, CCi Textin Word Converter, JL</dc:description>
  <cp:keywords>CCi</cp:keywords>
  <cp:lastModifiedBy>admin</cp:lastModifiedBy>
  <dcterms:modified xsi:type="dcterms:W3CDTF">2024-09-06T03:14:23Z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DA275E245121469B9CEBA8ED093FA49E_13</vt:lpwstr>
  </property>
</Properties>
</file>