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line="540" w:lineRule="exact"/>
        <w:jc w:val="center"/>
        <w:textAlignment w:val="auto"/>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公证业务申请条件</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公证是公证机构根据自然人、法人或者其他组织的申请，依照法定程序对民事法律行为、有法律意义的事实和文书的真实性、合法性予以证明的</w:t>
      </w:r>
      <w:bookmarkStart w:id="0" w:name="_GoBack"/>
      <w:bookmarkEnd w:id="0"/>
      <w:r>
        <w:rPr>
          <w:rFonts w:hint="eastAsia" w:ascii="仿宋" w:hAnsi="仿宋" w:eastAsia="仿宋" w:cs="仿宋"/>
          <w:sz w:val="32"/>
          <w:szCs w:val="32"/>
          <w:lang w:val="en-US" w:eastAsia="zh-CN"/>
        </w:rPr>
        <w:t>活动。</w:t>
      </w:r>
    </w:p>
    <w:p>
      <w:pPr>
        <w:keepNext w:val="0"/>
        <w:keepLines w:val="0"/>
        <w:pageBreakBefore w:val="0"/>
        <w:widowControl/>
        <w:kinsoku/>
        <w:wordWrap/>
        <w:overflowPunct/>
        <w:topLinePunct w:val="0"/>
        <w:autoSpaceDE/>
        <w:autoSpaceDN/>
        <w:bidi w:val="0"/>
        <w:adjustRightInd w:val="0"/>
        <w:snapToGrid w:val="0"/>
        <w:spacing w:line="54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法律依据</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《中华人民共和国民法典》、《中华人民共和国公证法》、《公证程序规则》等法律法规</w:t>
      </w:r>
      <w:r>
        <w:rPr>
          <w:rFonts w:hint="eastAsia" w:ascii="仿宋" w:hAnsi="仿宋" w:eastAsia="仿宋" w:cs="仿宋"/>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40" w:lineRule="exact"/>
        <w:ind w:firstLine="643" w:firstLineChars="200"/>
        <w:textAlignment w:val="auto"/>
        <w:rPr>
          <w:rFonts w:hint="eastAsia" w:ascii="楷体" w:hAnsi="楷体" w:eastAsia="楷体" w:cs="楷体"/>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受理人群</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自然人、法人、其他组织。</w:t>
      </w:r>
    </w:p>
    <w:p>
      <w:pPr>
        <w:keepNext w:val="0"/>
        <w:keepLines w:val="0"/>
        <w:pageBreakBefore w:val="0"/>
        <w:widowControl/>
        <w:numPr>
          <w:ilvl w:val="0"/>
          <w:numId w:val="1"/>
        </w:numPr>
        <w:kinsoku/>
        <w:wordWrap/>
        <w:overflowPunct/>
        <w:topLinePunct w:val="0"/>
        <w:autoSpaceDE/>
        <w:autoSpaceDN/>
        <w:bidi w:val="0"/>
        <w:adjustRightInd w:val="0"/>
        <w:snapToGrid w:val="0"/>
        <w:spacing w:line="54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申请条件：</w:t>
      </w:r>
    </w:p>
    <w:p>
      <w:pPr>
        <w:keepNext w:val="0"/>
        <w:keepLines w:val="0"/>
        <w:pageBreakBefore w:val="0"/>
        <w:widowControl/>
        <w:numPr>
          <w:ilvl w:val="0"/>
          <w:numId w:val="0"/>
        </w:numPr>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rPr>
        <w:t>申请人与申请公证的事项有利害关系</w:t>
      </w:r>
      <w:r>
        <w:rPr>
          <w:rFonts w:hint="eastAsia" w:ascii="仿宋" w:hAnsi="仿宋" w:eastAsia="仿宋" w:cs="仿宋"/>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rPr>
        <w:t>申请人之间对申请公证的事项无争议</w:t>
      </w:r>
      <w:r>
        <w:rPr>
          <w:rFonts w:hint="eastAsia" w:ascii="仿宋" w:hAnsi="仿宋" w:eastAsia="仿宋" w:cs="仿宋"/>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申请公证的事项符合《公证法》第十一条规定的范围</w:t>
      </w:r>
      <w:r>
        <w:rPr>
          <w:rFonts w:hint="eastAsia" w:ascii="仿宋" w:hAnsi="仿宋" w:eastAsia="仿宋" w:cs="仿宋"/>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申请公证的事项符合《公证法》第二十五条的规定和该公证机构在其执业区域内可以受理公证业务的范围。</w:t>
      </w:r>
    </w:p>
    <w:p>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法律、行政法规规定应当公证的事项，符合前款第一项、第二项、第四项规定条件的，公证机构应当受理。</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026C85"/>
    <w:multiLevelType w:val="singleLevel"/>
    <w:tmpl w:val="CA026C85"/>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0NWFmMzBlOWUzZDkwOWFiNWFhNWQ0ZjA3YTRmNGYifQ=="/>
  </w:docVars>
  <w:rsids>
    <w:rsidRoot w:val="18715E2A"/>
    <w:rsid w:val="18715E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imes New Roman"/>
      <w:sz w:val="22"/>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2022-07-06T07:43:00Z</dcterms:created>
  <dc:creator>Administrator</dc:creator>
  <cp:lastModifiedBy>Administrator</cp:lastModifiedBy>
  <dcterms:modified xsi:type="dcterms:W3CDTF">2022-07-06T07:44:26Z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6299D006D2F448058C57C0C06C043820</vt:lpwstr>
  </property>
</Properties>
</file>