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CFE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财政局落实惠企政策赋能企业高质量发展</w:t>
      </w:r>
    </w:p>
    <w:p w14:paraId="3C2CD0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6ADF5F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为充分发挥财政职能作用，切实为企业纾困解难、赋能增效，区财政局多措并举推进惠企利企政策落地见效，全力支持区域内企业高质量发展。</w:t>
      </w:r>
    </w:p>
    <w:p w14:paraId="1668BC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方面，区财政局持续加大惠企利企政策宣传力度，主动加强与区科工局等相关部门的沟通协作，凝聚工作合力。围绕先进制造业集群提升、数字化转型和未来产业培育等重点领域，精准梳理产业行业扶持政策，清晰指引资金使用方向与项目申报流程，扎实落实省厅支持中小企业发展财政政策及许昌市支持制造业高质量发展奖励政策。同时，积极配合各相关部门推进企业项目申报工作，全力争取上级政策资金扶持，以财政政策优势为导向，引导和鼓励中小微企业不断发展壮大。</w:t>
      </w:r>
    </w:p>
    <w:p w14:paraId="633C53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另一方面，区财政局注重深化与辖区内相关主管部门及企业的沟通对接，深入了解企业实际经营状况，精准对接企业需求，主动靠前帮助企业推进项目申报工作。2025年以来，各项申报工作有序推进，成果显著：配合区工信局成功申报2025年一季度规上工业企业满负荷生产奖励资金项目，涉及16家企业，奖励资金80.5万元；申报2025年一季度制造业大型设备更新项目，涉及1家企业，资金金额825.49万元；申报2025年二季度重点工业企业财政奖励项目，涉及3家企业，奖励资金10.5万元；申报2025年市级制造业高质量发展绿色化改造项目，涉及2家企业，资金278.56万元；申报2025年市级制造业高质量发展绿色制造业项目，涉及1家企业，资金68.05万元；申报2025年市级制造业高质量发展小升规项目，涉及3家企业，资金10万元。截至目前，2025年共成功申请上级奖补资金项目6个，覆盖企业26家。</w:t>
      </w:r>
    </w:p>
    <w:p w14:paraId="3D34A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bookmarkStart w:id="0" w:name="_GoBack"/>
      <w:bookmarkEnd w:id="0"/>
      <w:r>
        <w:rPr>
          <w:rFonts w:hint="eastAsia" w:asciiTheme="minorEastAsia" w:hAnsiTheme="minorEastAsia" w:eastAsiaTheme="minorEastAsia" w:cstheme="minorEastAsia"/>
          <w:sz w:val="24"/>
          <w:szCs w:val="24"/>
        </w:rPr>
        <w:t>通过积极为区域内符合条件的企业争取上级财政资金扶持，不仅有效缓解了企业资金压力，更对引导和鼓励中小微企业做大做强、加快转型升级步伐、规范经营管理起到了重要推动作用。下一步，区财政局将继续坚守服务企业初心，持续优化惠企服务举措，切实把政策红利转化为企业发展动力，为促进本区经济高质量发展贡献财政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6FEF88"/>
    <w:rsid w:val="6B0B750D"/>
    <w:rsid w:val="73421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2025-12-29T19:15:00Z</dcterms:created>
  <dc:creator>Administrator</dc:creator>
  <cp:lastModifiedBy>huanghe</cp:lastModifiedBy>
  <dcterms:modified xsi:type="dcterms:W3CDTF">2026-02-03T16:45:28Z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eyJoZGlkIjoiNjU1MjE2NWY4ZWNlYmQ3ZDY4ZDk3Njg3YjA3ZWE0YWUiLCJ1c2VySWQiOiIyNjYyMjQ0NTIifQ==</vt:lpwstr>
  </property>
  <property fmtid="{D5CDD505-2E9C-101B-9397-08002B2CF9AE}" pid="4" name="ICV">
    <vt:lpwstr>5A707DE607DC4F5EA55B8BC5601B4075_12</vt:lpwstr>
  </property>
</Properties>
</file>