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ED87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ajorEastAsia" w:hAnsiTheme="majorEastAsia" w:eastAsiaTheme="majorEastAsia" w:cstheme="majorEastAsia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</w:rPr>
        <w:t>建安区商务局推进跨境贸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sz w:val="44"/>
          <w:szCs w:val="44"/>
        </w:rPr>
        <w:t>易便利化专项行动</w:t>
      </w:r>
    </w:p>
    <w:p w14:paraId="50CAED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ajorEastAsia" w:hAnsiTheme="majorEastAsia" w:eastAsiaTheme="majorEastAsia" w:cstheme="majorEastAsia"/>
          <w:sz w:val="44"/>
          <w:szCs w:val="44"/>
        </w:rPr>
      </w:pPr>
    </w:p>
    <w:p w14:paraId="3FB944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为持续优化口岸营商环境，提升跨境贸易效率，助力外贸企业降本增效，建安区商务局聚焦关键环节，扎实推进跨境贸易便利化专项行动。现将相关工作与具体进展公开如下：</w:t>
      </w:r>
    </w:p>
    <w:p w14:paraId="420734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一、强化协同与能力建设，提升贸易全流程效率</w:t>
      </w:r>
    </w:p>
    <w:p w14:paraId="0F366F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我局积极牵头，联合许昌海关、市税务局、市商务局口岸办等职能部门，年内针对通关、退税、电商合规等企业共性需求，开展联合政策宣讲与精准辅导。同时，组织开展涵盖AEO高级认证、RCEP规则应用、绿色贸易等专题培训7场次，系统提升企业合规运营与风险应对能力，直接服务企业超百家，助力企业优化内部流程，为享受更快通关速度、更低查验率等便利措施奠定基础。</w:t>
      </w:r>
    </w:p>
    <w:p w14:paraId="6B9951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二、支持市场开拓与风险防范，降低企业运营成本</w:t>
      </w:r>
    </w:p>
    <w:p w14:paraId="716169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为助力企业拓展国际市场，我局全年累计指导组织企业参加广交会、中非博览会、印尼食品展等境内外重点展会51场次。在资金支持方面，积极落实各级扶持政策，成功组织企业申报并获取国家及省级外贸发展资金，其中2025年上半年“中小开、中信保”项目为企业争取省直补资金95.91万元，全年累计协助企业申报相关资金164万元，有效降低了企业市场开拓与风险防范成本。此外，联合市律师协会等机构为假发等重点产业提供涉外法律合规服务，强化企业风险前置管理能力。</w:t>
      </w:r>
    </w:p>
    <w:p w14:paraId="19EFEE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三、深化企业服务与诉求响应，精准破解发展难题</w:t>
      </w:r>
    </w:p>
    <w:p w14:paraId="327064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建立常态化企业走访与服务机制，2025年度深入重点外贸企业进行专项调研与调度，面对面响应并协调解决企业在跨境贸易中遇到的具体问题。通过专项纾困基金、跨境电商扶持政策对接等渠道，强化财税金融支持，积极缓解企业现金流压力，全年精准对接并推动解决企业各类发展诉求数十项，持续稳定企业发展信心。</w:t>
      </w:r>
    </w:p>
    <w:p w14:paraId="4549C2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917F3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A91C06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A91C06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433317"/>
    <w:rsid w:val="75FBF3E5"/>
    <w:rsid w:val="7BEBB56D"/>
    <w:rsid w:val="AEEF2286"/>
    <w:rsid w:val="EDFFA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2025-12-27T06:50:00Z</dcterms:created>
  <dc:creator>Administrator</dc:creator>
  <cp:lastModifiedBy>huanghe</cp:lastModifiedBy>
  <cp:lastPrinted>2025-12-30T06:24:00Z</cp:lastPrinted>
  <dcterms:modified xsi:type="dcterms:W3CDTF">2026-02-03T16:25:37Z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KSOTemplateDocerSaveRecord">
    <vt:lpwstr>eyJoZGlkIjoiMGRhYjNjN2Q1ODA2ZmRhNzQwZmM5ZTcwZTM2MWRjMDIiLCJ1c2VySWQiOiIyNzg0MDQ4NjEifQ==</vt:lpwstr>
  </property>
  <property fmtid="{D5CDD505-2E9C-101B-9397-08002B2CF9AE}" pid="4" name="ICV">
    <vt:lpwstr>BCD0A4340F994B3B81D70509CEFC3A1D_12</vt:lpwstr>
  </property>
</Properties>
</file>