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42"/>
          <w:szCs w:val="42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2022年民政部门负责的养老机构行政处罚信息</w:t>
      </w:r>
    </w:p>
    <w:bookmarkEnd w:id="0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依据《中华人民共和国老年人权益保障法》、《中华人民共和国行政强制法》、《中华人民共和国行政处罚法》、《养老机构管理办法》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行政处罚事项及标准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养老机构有下列行为之一的，由实施许可的民政部门责令改正；情节严重的，处以3万元以下的罚款；构成犯罪的，依法追究刑事责任：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1、未与老年人或者其代理人签订服务协议，或者协议不符合规定的；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2、未按照国家有关标准和规定开展服务的；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3、配备人员的资格不符合规定的；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4、向负责监督检查的民政部门隐瞒有关情况、提供虚假材料或者拒绝提供反映其活动情况真实材料的；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5、利用养老机构的房屋、场地、设施开展与养老服务宗旨无关的活动的；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6、歧视、侮辱、虐待或遗弃老年人以及其他侵犯老年人合法权益行为的；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7、擅自暂停或者终止服务的；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8、法律、法规、规章规定的其他违法行为。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行政处罚结果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2022年上半年没有发现养老机构出现违反以上事项情况。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行政复议、行政诉讼、监督方式及电话: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5134828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1MWJmNzExNjAwZGIwZjdiZGZhZTM0ZDE0ZDFiZDAifQ=="/>
  </w:docVars>
  <w:rsids>
    <w:rsidRoot w:val="00000000"/>
    <w:rsid w:val="0D30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454</Words>
  <Characters>479</Characters>
  <Lines>0</Lines>
  <Paragraphs>0</Paragraphs>
  <TotalTime>0</TotalTime>
  <ScaleCrop>false</ScaleCrop>
  <LinksUpToDate>false</LinksUpToDate>
  <CharactersWithSpaces>486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2022-10-25T09:46:29Z</dcterms:created>
  <dc:creator>lenovo</dc:creator>
  <cp:lastModifiedBy>彦兵</cp:lastModifiedBy>
  <dcterms:modified xsi:type="dcterms:W3CDTF">2022-10-25T09:46:52Z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96DF8525BFB9496AB3BDCAD89E482158</vt:lpwstr>
  </property>
</Properties>
</file>