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6" w:name="_GoBack"/>
      <w:bookmarkEnd w:id="6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11"/>
      <w:bookmarkStart w:id="1" w:name="OLE_LINK35"/>
      <w:bookmarkStart w:id="2" w:name="OLE_LINK17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许鄢快速通道以北、张古路以东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局部地块</w:t>
      </w:r>
      <w:bookmarkEnd w:id="1"/>
      <w:bookmarkEnd w:id="2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4AE1BE6E">
      <w:pPr>
        <w:ind w:firstLine="640" w:firstLineChars="200"/>
        <w:rPr>
          <w:rFonts w:hint="eastAsia" w:ascii="Times New Roman" w:hAnsi="Times New Roman" w:cs="仿宋_GB2312"/>
          <w:lang w:eastAsia="zh-CN"/>
        </w:rPr>
      </w:pPr>
      <w:bookmarkStart w:id="3" w:name="OLE_LINK10"/>
      <w:r>
        <w:rPr>
          <w:rFonts w:hint="eastAsia" w:ascii="Times New Roman" w:hAnsi="Times New Roman" w:cs="仿宋_GB2312"/>
          <w:lang w:val="en-US" w:eastAsia="zh-CN"/>
        </w:rPr>
        <w:t>规划地块</w:t>
      </w:r>
      <w:bookmarkStart w:id="4" w:name="OLE_LINK40"/>
      <w:r>
        <w:rPr>
          <w:rFonts w:hint="eastAsia" w:ascii="Times New Roman" w:hAnsi="Times New Roman" w:cs="仿宋_GB2312"/>
          <w:lang w:val="en-US" w:eastAsia="zh-CN"/>
        </w:rPr>
        <w:t>红线内用地面积：37845平方米，绿线内用地面积：30294平方米，</w:t>
      </w:r>
      <w:bookmarkEnd w:id="4"/>
      <w:r>
        <w:rPr>
          <w:rFonts w:hint="eastAsia" w:ascii="Times New Roman" w:hAnsi="Times New Roman" w:cs="仿宋_GB2312"/>
          <w:lang w:val="en-US" w:eastAsia="zh-CN"/>
        </w:rPr>
        <w:t>其中</w:t>
      </w:r>
      <w:bookmarkStart w:id="5" w:name="OLE_LINK41"/>
      <w:r>
        <w:rPr>
          <w:rFonts w:hint="eastAsia" w:ascii="Times New Roman" w:hAnsi="Times New Roman" w:cs="仿宋_GB2312"/>
          <w:lang w:val="en-US" w:eastAsia="zh-CN"/>
        </w:rPr>
        <w:t>1—1号地块红线内用地面积：2226平方米，</w:t>
      </w:r>
      <w:bookmarkEnd w:id="5"/>
      <w:r>
        <w:rPr>
          <w:rFonts w:hint="eastAsia" w:ascii="Times New Roman" w:hAnsi="Times New Roman" w:cs="仿宋_GB2312"/>
          <w:lang w:val="en-US" w:eastAsia="zh-CN"/>
        </w:rPr>
        <w:t>1—2号地块绿线内用地面积：4305平方米，1—3号地块绿线内用地面积：25989平方米，1—4号地块红线内用地面积：5325平方米。用地性质：1—1、1—4号地块为绿地；1—2、1—3号地块为工业，行业分类：家具制造业，建筑限高：＞8米 ，建筑系数：≥40% ，容 积 率：≥0.9，绿 地 率：＜20% ，机动车停车位:≥0.1车位/100㎡建筑面积</w:t>
      </w:r>
      <w:bookmarkEnd w:id="3"/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5420" cy="3728085"/>
            <wp:effectExtent l="0" t="0" r="11430" b="5715"/>
            <wp:docPr id="1" name="图片 1" descr="99392f90450e862ef61488cb4095f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392f90450e862ef61488cb4095f7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A236CF5"/>
    <w:rsid w:val="12BD7542"/>
    <w:rsid w:val="144B4A92"/>
    <w:rsid w:val="18DC000A"/>
    <w:rsid w:val="1A741B5A"/>
    <w:rsid w:val="1AB97CE2"/>
    <w:rsid w:val="1CE617B0"/>
    <w:rsid w:val="1D4631DD"/>
    <w:rsid w:val="2F1C5DF3"/>
    <w:rsid w:val="30031645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6F661C76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384</Words>
  <Characters>438</Characters>
  <Lines>2</Lines>
  <Paragraphs>1</Paragraphs>
  <TotalTime>1</TotalTime>
  <ScaleCrop>false</ScaleCrop>
  <LinksUpToDate>false</LinksUpToDate>
  <CharactersWithSpaces>446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