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8BC2C0">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建安区桂村乡人民政府</w:t>
      </w:r>
    </w:p>
    <w:p w14:paraId="0D6C73B7">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关于2025年法治政府建设情况的报告</w:t>
      </w:r>
    </w:p>
    <w:p w14:paraId="59FC056A">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600" w:lineRule="exact"/>
        <w:ind w:left="0" w:right="0" w:firstLine="0"/>
        <w:jc w:val="center"/>
        <w:textAlignment w:val="auto"/>
        <w:rPr>
          <w:rFonts w:hint="eastAsia" w:ascii="仿宋_GB2312" w:hAnsi="仿宋_GB2312" w:eastAsia="仿宋_GB2312" w:cs="仿宋_GB2312"/>
          <w:i w:val="0"/>
          <w:iCs w:val="0"/>
          <w:caps w:val="0"/>
          <w:color w:val="222222"/>
          <w:spacing w:val="8"/>
          <w:sz w:val="32"/>
          <w:szCs w:val="32"/>
          <w:shd w:val="clear" w:color="auto" w:fill="FFFFFF"/>
          <w:lang w:eastAsia="zh-CN"/>
        </w:rPr>
      </w:pPr>
    </w:p>
    <w:p w14:paraId="1C231E39">
      <w:pPr>
        <w:pStyle w:val="4"/>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0" w:right="0" w:firstLine="672" w:firstLineChars="200"/>
        <w:jc w:val="both"/>
        <w:textAlignment w:val="auto"/>
        <w:rPr>
          <w:rFonts w:hint="eastAsia" w:ascii="仿宋_GB2312" w:hAnsi="仿宋_GB2312" w:eastAsia="仿宋_GB2312" w:cs="仿宋_GB2312"/>
          <w:i w:val="0"/>
          <w:iCs w:val="0"/>
          <w:caps w:val="0"/>
          <w:color w:val="222222"/>
          <w:spacing w:val="8"/>
          <w:sz w:val="32"/>
          <w:szCs w:val="32"/>
          <w:shd w:val="clear" w:color="auto" w:fill="FFFFFF"/>
        </w:rPr>
      </w:pPr>
      <w:r>
        <w:rPr>
          <w:rFonts w:hint="eastAsia" w:ascii="仿宋_GB2312" w:hAnsi="仿宋_GB2312" w:eastAsia="仿宋_GB2312" w:cs="仿宋_GB2312"/>
          <w:i w:val="0"/>
          <w:iCs w:val="0"/>
          <w:caps w:val="0"/>
          <w:color w:val="222222"/>
          <w:spacing w:val="8"/>
          <w:sz w:val="32"/>
          <w:szCs w:val="32"/>
          <w:shd w:val="clear" w:color="auto" w:fill="FFFFFF"/>
          <w:lang w:val="en-US" w:eastAsia="zh-CN"/>
        </w:rPr>
        <w:t>根据工作要求，现将2025年</w:t>
      </w:r>
      <w:bookmarkStart w:id="0" w:name="_GoBack"/>
      <w:bookmarkEnd w:id="0"/>
      <w:r>
        <w:rPr>
          <w:rFonts w:hint="eastAsia" w:ascii="仿宋_GB2312" w:hAnsi="仿宋_GB2312" w:eastAsia="仿宋_GB2312" w:cs="仿宋_GB2312"/>
          <w:i w:val="0"/>
          <w:iCs w:val="0"/>
          <w:caps w:val="0"/>
          <w:color w:val="222222"/>
          <w:spacing w:val="8"/>
          <w:sz w:val="32"/>
          <w:szCs w:val="32"/>
          <w:shd w:val="clear" w:color="auto" w:fill="FFFFFF"/>
          <w:lang w:val="en-US" w:eastAsia="zh-CN"/>
        </w:rPr>
        <w:t>法治政府建设情况报告</w:t>
      </w:r>
      <w:r>
        <w:rPr>
          <w:rFonts w:hint="eastAsia" w:ascii="仿宋_GB2312" w:hAnsi="仿宋_GB2312" w:eastAsia="仿宋_GB2312" w:cs="仿宋_GB2312"/>
          <w:i w:val="0"/>
          <w:iCs w:val="0"/>
          <w:caps w:val="0"/>
          <w:color w:val="222222"/>
          <w:spacing w:val="8"/>
          <w:sz w:val="32"/>
          <w:szCs w:val="32"/>
          <w:shd w:val="clear" w:color="auto" w:fill="FFFFFF"/>
          <w:lang w:eastAsia="zh-CN"/>
        </w:rPr>
        <w:t>如下：</w:t>
      </w:r>
    </w:p>
    <w:p w14:paraId="69CBDAF3">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Chars="200" w:right="0" w:rightChars="0" w:firstLine="336" w:firstLineChars="100"/>
        <w:jc w:val="both"/>
        <w:textAlignment w:val="auto"/>
        <w:rPr>
          <w:rFonts w:hint="eastAsia" w:ascii="黑体" w:hAnsi="黑体" w:eastAsia="黑体" w:cs="黑体"/>
          <w:b w:val="0"/>
          <w:bCs w:val="0"/>
          <w:i w:val="0"/>
          <w:iCs w:val="0"/>
          <w:caps w:val="0"/>
          <w:color w:val="222222"/>
          <w:spacing w:val="8"/>
          <w:sz w:val="32"/>
          <w:szCs w:val="32"/>
          <w:shd w:val="clear" w:color="auto" w:fill="FFFFFF"/>
        </w:rPr>
      </w:pPr>
      <w:r>
        <w:rPr>
          <w:rFonts w:hint="eastAsia" w:ascii="黑体" w:hAnsi="黑体" w:eastAsia="黑体" w:cs="黑体"/>
          <w:b w:val="0"/>
          <w:bCs w:val="0"/>
          <w:i w:val="0"/>
          <w:iCs w:val="0"/>
          <w:caps w:val="0"/>
          <w:color w:val="222222"/>
          <w:spacing w:val="8"/>
          <w:sz w:val="32"/>
          <w:szCs w:val="32"/>
          <w:shd w:val="clear" w:color="auto" w:fill="FFFFFF"/>
          <w:lang w:val="en-US" w:eastAsia="zh-CN"/>
        </w:rPr>
        <w:t>一、工作开展情况</w:t>
      </w:r>
    </w:p>
    <w:p w14:paraId="77AEB650">
      <w:pPr>
        <w:keepNext w:val="0"/>
        <w:keepLines w:val="0"/>
        <w:pageBreakBefore w:val="0"/>
        <w:widowControl/>
        <w:suppressLineNumbers w:val="0"/>
        <w:kinsoku/>
        <w:wordWrap/>
        <w:overflowPunct/>
        <w:topLinePunct w:val="0"/>
        <w:autoSpaceDE/>
        <w:autoSpaceDN/>
        <w:bidi w:val="0"/>
        <w:adjustRightInd w:val="0"/>
        <w:snapToGrid w:val="0"/>
        <w:spacing w:line="560" w:lineRule="exact"/>
        <w:ind w:firstLine="672" w:firstLineChars="200"/>
        <w:jc w:val="both"/>
        <w:textAlignment w:val="auto"/>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（一）提高法治思维能力。</w:t>
      </w:r>
      <w:r>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t>一是坚持集体学法制度。始终把学习贯彻习近平法治思想作为重大政治任务，召开党委理论学习中心组专题学习12次，重点学习《中华人民共和国宪法》《中华人民共和国行政处罚法》等法律法规，学习贯彻习近平总书记关于法治建设的重要讲话和重要指示批示精神，不断增强法治意识，提升运用法治思维和法治方式推动工作的能力。二是加强领导干部法治教育。组织领导班子成员、机关干部参加法治专题培训。建立领导班子学法考勤、学法档案、学法情况通报等制度，推动学法常态化、制度化。邀请区司法局、法院专家开展法治讲座，围绕《中华人民共和国民法典》《中华人民共和国行政强制法》等重点法律法规进行专题辅导，全面提升干部法律素养。</w:t>
      </w:r>
    </w:p>
    <w:p w14:paraId="10D4B58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72" w:firstLineChars="200"/>
        <w:jc w:val="both"/>
        <w:textAlignment w:val="auto"/>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（二）全面贯彻依法治国决策部署。</w:t>
      </w:r>
      <w:r>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t>一是健全法治建设领导体制。认真落实《法治政府建设实施纲要（2021—2025年）》，建立健全党委领导法治建设的工作机制，定期听取法治建设工作汇报，及时研究解决法治建设中的重大问题。将法治建设纳入全乡经济社会发展总体规划和年度工作计划，做到与经济社会发展同部署、同推进、同督促、同考核。二是严格执行党内法规。认真学习贯彻《中国共产党章程》《中国共产党廉洁自律准则》等党内法规，扎实开展党纪学习教育，将纪律要求内化于心、外化于行。推进依法治理基层实践。三是深入推进法治乡村建设。健全村级民主决策机制，推动完善村规民约，组织乡司法所积极为群众提供法律咨询服务，信访办、平安办等乡职能所站全力调处矛盾纠纷81起。</w:t>
      </w:r>
    </w:p>
    <w:p w14:paraId="18426861">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72" w:firstLineChars="200"/>
        <w:jc w:val="both"/>
        <w:textAlignment w:val="auto"/>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（三）严格执行依法行政制度。</w:t>
      </w:r>
      <w:r>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t>一是规范重大行政决策程序。严格执行《重大行政决策程序暂行条例》，制定并公布年度重大行政决策事项目录，涉及群众切身利益的重大决策事项均依法履行公众参与、专家论证、风险评估、合法性审查、集体讨论决定等程序。全年作出重大行政决策5项，均严格履行法定程序，实现决策程序合法、内容合法。二是全面推行行政执法“三项制度”。建立健全行政执法公示、执法全过程记录、重大执法决定法制审核制度，规范行政执法行为。全年开展行政执法检查30余次，实现执法全过程留痕和可追溯管理，未发生违法行政执法行为。</w:t>
      </w:r>
    </w:p>
    <w:p w14:paraId="0301B66A">
      <w:pPr>
        <w:keepNext w:val="0"/>
        <w:keepLines w:val="0"/>
        <w:pageBreakBefore w:val="0"/>
        <w:widowControl/>
        <w:numPr>
          <w:ilvl w:val="0"/>
          <w:numId w:val="0"/>
        </w:numPr>
        <w:suppressLineNumbers w:val="0"/>
        <w:kinsoku/>
        <w:wordWrap/>
        <w:overflowPunct/>
        <w:topLinePunct w:val="0"/>
        <w:autoSpaceDE/>
        <w:autoSpaceDN/>
        <w:bidi w:val="0"/>
        <w:adjustRightInd w:val="0"/>
        <w:snapToGrid w:val="0"/>
        <w:spacing w:line="560" w:lineRule="exact"/>
        <w:ind w:firstLine="672" w:firstLineChars="200"/>
        <w:jc w:val="both"/>
        <w:textAlignment w:val="auto"/>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（四）大力推进法治宣传教育。</w:t>
      </w:r>
      <w:r>
        <w:rPr>
          <w:rFonts w:hint="eastAsia" w:ascii="仿宋_GB2312" w:hAnsi="仿宋_GB2312" w:eastAsia="仿宋_GB2312" w:cs="仿宋_GB2312"/>
          <w:b w:val="0"/>
          <w:bCs w:val="0"/>
          <w:i w:val="0"/>
          <w:iCs w:val="0"/>
          <w:caps w:val="0"/>
          <w:color w:val="222222"/>
          <w:spacing w:val="8"/>
          <w:kern w:val="0"/>
          <w:sz w:val="32"/>
          <w:szCs w:val="32"/>
          <w:u w:val="none"/>
          <w:shd w:val="clear" w:color="auto" w:fill="FFFFFF"/>
          <w:lang w:val="en-US" w:eastAsia="zh-CN" w:bidi="ar"/>
        </w:rPr>
        <w:t>一是深入开展宪法宣传教育。组织开展“12·4”国家宪法日暨宪法宣传周系列活动，通过举办宪法知识竞赛、宪法宣誓、法治文艺演出等形式，推动宪法精神深入人心。全年开展宪法宣传活动4场次，发放宣传资料400余份，提高了受教育群众法治意识，营造全民守法良好氛围。二是全面落实“谁执法谁普法”普法责任制。建立普法责任清单制度，推动形成分工负责、齐抓共管的普法工作格局，涵盖民法典、安全生产、环境保护、消费者权益保护等多个领域。三是加强重点对象法治教育。针对农村干部、青少年、企业经营管理人员等重点群体，开展有针对性的法治宣传教育。举办村干部法治培训班，开展“法律进校园”活动。</w:t>
      </w:r>
    </w:p>
    <w:p w14:paraId="23721B0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Chars="200" w:right="0" w:rightChars="0" w:firstLine="336" w:firstLineChars="100"/>
        <w:jc w:val="both"/>
        <w:textAlignment w:val="auto"/>
        <w:rPr>
          <w:rFonts w:hint="eastAsia" w:ascii="黑体" w:hAnsi="黑体" w:eastAsia="黑体" w:cs="黑体"/>
          <w:b w:val="0"/>
          <w:bCs w:val="0"/>
          <w:i w:val="0"/>
          <w:iCs w:val="0"/>
          <w:caps w:val="0"/>
          <w:color w:val="222222"/>
          <w:spacing w:val="8"/>
          <w:sz w:val="32"/>
          <w:szCs w:val="32"/>
          <w:u w:val="none"/>
          <w:shd w:val="clear" w:color="auto" w:fill="FFFFFF"/>
          <w:lang w:val="en-US" w:eastAsia="zh-CN"/>
        </w:rPr>
      </w:pPr>
      <w:r>
        <w:rPr>
          <w:rFonts w:hint="eastAsia" w:ascii="黑体" w:hAnsi="黑体" w:eastAsia="黑体" w:cs="黑体"/>
          <w:b w:val="0"/>
          <w:bCs w:val="0"/>
          <w:i w:val="0"/>
          <w:iCs w:val="0"/>
          <w:caps w:val="0"/>
          <w:color w:val="222222"/>
          <w:spacing w:val="8"/>
          <w:sz w:val="32"/>
          <w:szCs w:val="32"/>
          <w:u w:val="none"/>
          <w:shd w:val="clear" w:color="auto" w:fill="FFFFFF"/>
          <w:lang w:val="en-US" w:eastAsia="zh-CN"/>
        </w:rPr>
        <w:t>二、存在问题</w:t>
      </w:r>
    </w:p>
    <w:p w14:paraId="0484E67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72" w:firstLineChars="200"/>
        <w:jc w:val="both"/>
        <w:textAlignment w:val="auto"/>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（一）法治思维运用还需加强。</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 xml:space="preserve">在实际工作中，有时仍习惯于用行政手段解决问题，运用法治思维和法治方式推动工作的自觉性还不够强，依法决策、依法管理、依法办事的能力有待进一步提升。 </w:t>
      </w:r>
    </w:p>
    <w:p w14:paraId="20975EF9">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72" w:firstLineChars="200"/>
        <w:jc w:val="both"/>
        <w:textAlignment w:val="auto"/>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（二）行政执法规范化水平有待提高。</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 xml:space="preserve">部分执法人员法律素养不高，执法程序不够规范，执法文书制作不够标准，执法全过程记录制度落实还不够到位，行政执法规范化建设需要进一步加强。 </w:t>
      </w:r>
    </w:p>
    <w:p w14:paraId="386685BB">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right="0" w:rightChars="0" w:firstLine="672" w:firstLineChars="200"/>
        <w:jc w:val="both"/>
        <w:textAlignment w:val="auto"/>
        <w:rPr>
          <w:rFonts w:hint="eastAsia" w:ascii="黑体" w:hAnsi="黑体" w:eastAsia="黑体" w:cs="黑体"/>
          <w:b w:val="0"/>
          <w:bCs w:val="0"/>
          <w:i w:val="0"/>
          <w:iCs w:val="0"/>
          <w:caps w:val="0"/>
          <w:color w:val="222222"/>
          <w:spacing w:val="8"/>
          <w:sz w:val="32"/>
          <w:szCs w:val="32"/>
          <w:u w:val="none"/>
          <w:shd w:val="clear" w:color="auto" w:fill="FFFFFF"/>
          <w:lang w:val="en-US" w:eastAsia="zh-CN"/>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（三）基层法治力量相对薄弱。</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基层法治工作人员数量不足，专业化水平不高，法律顾问作用发挥不够充分，基层法治服务能力需要进一步提升。法治宣传教育覆盖面还需拓展。法治宣传教育形式相对单一，针对不同群体的普法工作还不够精准，部分群众法治意识淡薄，依法维权意识不强，全民守法氛围营造还需进一步加强。</w:t>
      </w:r>
    </w:p>
    <w:p w14:paraId="078F84D6">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val="0"/>
        <w:spacing w:before="0" w:beforeAutospacing="0" w:after="0" w:afterAutospacing="0" w:line="560" w:lineRule="exact"/>
        <w:ind w:leftChars="200" w:right="0" w:rightChars="0" w:firstLine="336" w:firstLineChars="100"/>
        <w:jc w:val="both"/>
        <w:textAlignment w:val="auto"/>
        <w:rPr>
          <w:rFonts w:hint="default" w:ascii="黑体" w:hAnsi="黑体" w:eastAsia="黑体" w:cs="黑体"/>
          <w:b w:val="0"/>
          <w:bCs w:val="0"/>
          <w:i w:val="0"/>
          <w:iCs w:val="0"/>
          <w:caps w:val="0"/>
          <w:color w:val="222222"/>
          <w:spacing w:val="8"/>
          <w:sz w:val="32"/>
          <w:szCs w:val="32"/>
          <w:u w:val="none"/>
          <w:shd w:val="clear" w:color="auto" w:fill="FFFFFF"/>
          <w:lang w:val="en-US" w:eastAsia="zh-CN"/>
        </w:rPr>
      </w:pPr>
      <w:r>
        <w:rPr>
          <w:rFonts w:hint="eastAsia" w:ascii="黑体" w:hAnsi="黑体" w:eastAsia="黑体" w:cs="黑体"/>
          <w:b w:val="0"/>
          <w:bCs w:val="0"/>
          <w:i w:val="0"/>
          <w:iCs w:val="0"/>
          <w:caps w:val="0"/>
          <w:color w:val="222222"/>
          <w:spacing w:val="8"/>
          <w:sz w:val="32"/>
          <w:szCs w:val="32"/>
          <w:u w:val="none"/>
          <w:shd w:val="clear" w:color="auto" w:fill="FFFFFF"/>
          <w:lang w:val="en-US" w:eastAsia="zh-CN"/>
        </w:rPr>
        <w:t>三、下一步打算</w:t>
      </w:r>
    </w:p>
    <w:p w14:paraId="47994D7F">
      <w:pPr>
        <w:keepNext w:val="0"/>
        <w:keepLines w:val="0"/>
        <w:pageBreakBefore w:val="0"/>
        <w:widowControl/>
        <w:suppressLineNumbers w:val="0"/>
        <w:kinsoku/>
        <w:wordWrap/>
        <w:overflowPunct/>
        <w:topLinePunct w:val="0"/>
        <w:autoSpaceDE/>
        <w:autoSpaceDN/>
        <w:bidi w:val="0"/>
        <w:spacing w:line="560" w:lineRule="exact"/>
        <w:ind w:firstLine="672" w:firstLineChars="200"/>
        <w:jc w:val="both"/>
        <w:textAlignment w:val="auto"/>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（一）持续深化习近平法治思想学习。</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将学习贯彻习近平法治思想作为长期政治任务，纳入党委理论学习中心组学习重点内容，组织领导班子成员、机关干部深入学习《习近平法治思想学习纲要》，深刻把握习近平法治思想的核心要义和实践要求，不断提高运用法治思维和法治方式推动工作的能力。</w:t>
      </w:r>
    </w:p>
    <w:p w14:paraId="20E4D989">
      <w:pPr>
        <w:keepNext w:val="0"/>
        <w:keepLines w:val="0"/>
        <w:pageBreakBefore w:val="0"/>
        <w:widowControl/>
        <w:suppressLineNumbers w:val="0"/>
        <w:kinsoku/>
        <w:wordWrap/>
        <w:overflowPunct/>
        <w:topLinePunct w:val="0"/>
        <w:autoSpaceDE/>
        <w:autoSpaceDN/>
        <w:bidi w:val="0"/>
        <w:spacing w:line="560" w:lineRule="exact"/>
        <w:ind w:firstLine="672" w:firstLineChars="200"/>
        <w:jc w:val="both"/>
        <w:textAlignment w:val="auto"/>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（二）全面提升依法行政水平。</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进一步规范重大行政决策程序，严格执行公众参与、专家论证、风险评估、合法审查、集体讨论决定等制度。加强行政执法监督，完善行政执法“三项制度”，提升行政执法规范化水平。强化行政复议和应诉工作，充分发挥行政复议化解行政争议主渠道作用。</w:t>
      </w:r>
    </w:p>
    <w:p w14:paraId="3A866017">
      <w:pPr>
        <w:keepNext w:val="0"/>
        <w:keepLines w:val="0"/>
        <w:pageBreakBefore w:val="0"/>
        <w:widowControl/>
        <w:suppressLineNumbers w:val="0"/>
        <w:kinsoku/>
        <w:wordWrap/>
        <w:overflowPunct/>
        <w:topLinePunct w:val="0"/>
        <w:autoSpaceDE/>
        <w:autoSpaceDN/>
        <w:bidi w:val="0"/>
        <w:spacing w:line="560" w:lineRule="exact"/>
        <w:ind w:firstLine="672" w:firstLineChars="200"/>
        <w:jc w:val="both"/>
        <w:textAlignment w:val="auto"/>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（三）加强基层法治队伍建设。</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加大法治工作人员培训力度，提升法治工作队伍专业化水平。充分发挥法律顾问作用，健全政府法律顾问制度，为重大决策提供法律支持。加强村级法治力量建设，进一步提升基层法治服务能力。</w:t>
      </w:r>
    </w:p>
    <w:p w14:paraId="0EFFBFB4">
      <w:pPr>
        <w:keepNext w:val="0"/>
        <w:keepLines w:val="0"/>
        <w:pageBreakBefore w:val="0"/>
        <w:widowControl/>
        <w:suppressLineNumbers w:val="0"/>
        <w:kinsoku/>
        <w:wordWrap/>
        <w:overflowPunct/>
        <w:topLinePunct w:val="0"/>
        <w:autoSpaceDE/>
        <w:autoSpaceDN/>
        <w:bidi w:val="0"/>
        <w:spacing w:line="560" w:lineRule="exact"/>
        <w:ind w:firstLine="672" w:firstLineChars="200"/>
        <w:jc w:val="both"/>
        <w:textAlignment w:val="auto"/>
        <w:rPr>
          <w:rFonts w:hint="eastAsia" w:ascii="仿宋_GB2312" w:hAnsi="仿宋_GB2312" w:eastAsia="仿宋_GB2312" w:cs="仿宋_GB2312"/>
          <w:i w:val="0"/>
          <w:iCs w:val="0"/>
          <w:caps w:val="0"/>
          <w:color w:val="222222"/>
          <w:spacing w:val="8"/>
          <w:sz w:val="32"/>
          <w:szCs w:val="32"/>
          <w:u w:val="none"/>
          <w:shd w:val="clear" w:color="auto" w:fill="FFFFFF"/>
        </w:rPr>
      </w:pPr>
      <w:r>
        <w:rPr>
          <w:rFonts w:hint="eastAsia" w:ascii="楷体_GB2312" w:hAnsi="楷体_GB2312" w:eastAsia="楷体_GB2312" w:cs="楷体_GB2312"/>
          <w:b w:val="0"/>
          <w:bCs w:val="0"/>
          <w:i w:val="0"/>
          <w:iCs w:val="0"/>
          <w:caps w:val="0"/>
          <w:color w:val="222222"/>
          <w:spacing w:val="8"/>
          <w:kern w:val="0"/>
          <w:sz w:val="32"/>
          <w:szCs w:val="32"/>
          <w:u w:val="none"/>
          <w:shd w:val="clear" w:color="auto" w:fill="FFFFFF"/>
          <w:lang w:val="en-US" w:eastAsia="zh-CN" w:bidi="ar"/>
        </w:rPr>
        <w:t>（四）深入推进法治宣传教育。</w:t>
      </w:r>
      <w:r>
        <w:rPr>
          <w:rFonts w:hint="eastAsia" w:ascii="仿宋_GB2312" w:hAnsi="仿宋_GB2312" w:eastAsia="仿宋_GB2312" w:cs="仿宋_GB2312"/>
          <w:i w:val="0"/>
          <w:iCs w:val="0"/>
          <w:caps w:val="0"/>
          <w:color w:val="222222"/>
          <w:spacing w:val="8"/>
          <w:kern w:val="0"/>
          <w:sz w:val="32"/>
          <w:szCs w:val="32"/>
          <w:u w:val="none"/>
          <w:shd w:val="clear" w:color="auto" w:fill="FFFFFF"/>
          <w:lang w:val="en-US" w:eastAsia="zh-CN" w:bidi="ar"/>
        </w:rPr>
        <w:t>全面落实“谁执法谁普法”责任制，创新法治宣传形式，增强法治宣传针对性和实效性。加强重点对象法治教育，提高农村干部、青少年、企业等群体法治意识。深化法治文化建设，推动形成办事依法、遇事找法、解决问题用法、化解矛盾靠法的良好氛围。</w:t>
      </w:r>
    </w:p>
    <w:sectPr>
      <w:footerReference r:id="rId3" w:type="default"/>
      <w:pgSz w:w="11906" w:h="16838"/>
      <w:pgMar w:top="1701" w:right="1587" w:bottom="170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00"/>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楷体_GB2312">
    <w:altName w:val="方正楷体_GBK"/>
    <w:panose1 w:val="02010609030101010101"/>
    <w:charset w:val="00"/>
    <w:family w:val="auto"/>
    <w:pitch w:val="default"/>
    <w:sig w:usb0="00000000" w:usb1="00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EA420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10EA627">
                          <w:pPr>
                            <w:pStyle w:val="2"/>
                            <w:rPr>
                              <w:rFonts w:hint="default" w:ascii="Times New Roman" w:hAnsi="Times New Roman" w:cs="Times New Roman"/>
                              <w:sz w:val="32"/>
                              <w:szCs w:val="48"/>
                            </w:rPr>
                          </w:pP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1</w:t>
                          </w:r>
                          <w:r>
                            <w:rPr>
                              <w:rFonts w:hint="default" w:ascii="Times New Roman" w:hAnsi="Times New Roman" w:cs="Times New Roman"/>
                              <w:sz w:val="32"/>
                              <w:szCs w:val="4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14:paraId="210EA627">
                    <w:pPr>
                      <w:pStyle w:val="2"/>
                      <w:rPr>
                        <w:rFonts w:hint="default" w:ascii="Times New Roman" w:hAnsi="Times New Roman" w:cs="Times New Roman"/>
                        <w:sz w:val="32"/>
                        <w:szCs w:val="48"/>
                      </w:rPr>
                    </w:pPr>
                    <w:r>
                      <w:rPr>
                        <w:rFonts w:hint="default" w:ascii="Times New Roman" w:hAnsi="Times New Roman" w:cs="Times New Roman"/>
                        <w:sz w:val="32"/>
                        <w:szCs w:val="48"/>
                      </w:rPr>
                      <w:fldChar w:fldCharType="begin"/>
                    </w:r>
                    <w:r>
                      <w:rPr>
                        <w:rFonts w:hint="default" w:ascii="Times New Roman" w:hAnsi="Times New Roman" w:cs="Times New Roman"/>
                        <w:sz w:val="32"/>
                        <w:szCs w:val="48"/>
                      </w:rPr>
                      <w:instrText xml:space="preserve"> PAGE  \* MERGEFORMAT </w:instrText>
                    </w:r>
                    <w:r>
                      <w:rPr>
                        <w:rFonts w:hint="default" w:ascii="Times New Roman" w:hAnsi="Times New Roman" w:cs="Times New Roman"/>
                        <w:sz w:val="32"/>
                        <w:szCs w:val="48"/>
                      </w:rPr>
                      <w:fldChar w:fldCharType="separate"/>
                    </w:r>
                    <w:r>
                      <w:rPr>
                        <w:rFonts w:hint="default" w:ascii="Times New Roman" w:hAnsi="Times New Roman" w:cs="Times New Roman"/>
                        <w:sz w:val="32"/>
                        <w:szCs w:val="48"/>
                      </w:rPr>
                      <w:t>1</w:t>
                    </w:r>
                    <w:r>
                      <w:rPr>
                        <w:rFonts w:hint="default" w:ascii="Times New Roman" w:hAnsi="Times New Roman" w:cs="Times New Roman"/>
                        <w:sz w:val="32"/>
                        <w:szCs w:val="4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wYTUwZmIyODQ2MzcwMTkwMGJmYTllNjAxZTI1N2EifQ=="/>
    <w:docVar w:name="KSO_WPS_MARK_KEY" w:val="5617f841-6d7e-4b15-9d85-55cab4f0eabd"/>
  </w:docVars>
  <w:rsids>
    <w:rsidRoot w:val="00000000"/>
    <w:rsid w:val="0022181C"/>
    <w:rsid w:val="01195642"/>
    <w:rsid w:val="016D6AC7"/>
    <w:rsid w:val="03394EB3"/>
    <w:rsid w:val="03607F3C"/>
    <w:rsid w:val="038A3960"/>
    <w:rsid w:val="04074FB1"/>
    <w:rsid w:val="042042C5"/>
    <w:rsid w:val="048A0490"/>
    <w:rsid w:val="04E83035"/>
    <w:rsid w:val="05B4456E"/>
    <w:rsid w:val="05D41A2D"/>
    <w:rsid w:val="06BD5DFB"/>
    <w:rsid w:val="06CC4290"/>
    <w:rsid w:val="070659F4"/>
    <w:rsid w:val="07CB4548"/>
    <w:rsid w:val="07E65F5A"/>
    <w:rsid w:val="084E6464"/>
    <w:rsid w:val="08B5322E"/>
    <w:rsid w:val="0AE96F65"/>
    <w:rsid w:val="0CE34CC4"/>
    <w:rsid w:val="0E386240"/>
    <w:rsid w:val="0E655035"/>
    <w:rsid w:val="101E5B5C"/>
    <w:rsid w:val="10264A11"/>
    <w:rsid w:val="110D53D2"/>
    <w:rsid w:val="116F5EA4"/>
    <w:rsid w:val="11F1104F"/>
    <w:rsid w:val="122C1E07"/>
    <w:rsid w:val="12CD386A"/>
    <w:rsid w:val="131E40C5"/>
    <w:rsid w:val="132C233E"/>
    <w:rsid w:val="135F436F"/>
    <w:rsid w:val="141D25CF"/>
    <w:rsid w:val="1441006B"/>
    <w:rsid w:val="14C36CD2"/>
    <w:rsid w:val="15080B89"/>
    <w:rsid w:val="169C3C7F"/>
    <w:rsid w:val="16E11692"/>
    <w:rsid w:val="16EFFE25"/>
    <w:rsid w:val="17EC4792"/>
    <w:rsid w:val="18602A8A"/>
    <w:rsid w:val="18F03E0E"/>
    <w:rsid w:val="190873AA"/>
    <w:rsid w:val="195A572B"/>
    <w:rsid w:val="199D3F96"/>
    <w:rsid w:val="1A9469A8"/>
    <w:rsid w:val="1F26058A"/>
    <w:rsid w:val="1F446C62"/>
    <w:rsid w:val="1FF011BF"/>
    <w:rsid w:val="20322F5E"/>
    <w:rsid w:val="20686458"/>
    <w:rsid w:val="20847C5E"/>
    <w:rsid w:val="20C4005A"/>
    <w:rsid w:val="21EB6FC1"/>
    <w:rsid w:val="22401962"/>
    <w:rsid w:val="225278E7"/>
    <w:rsid w:val="22754F25"/>
    <w:rsid w:val="22B76DBB"/>
    <w:rsid w:val="231150AD"/>
    <w:rsid w:val="23476D20"/>
    <w:rsid w:val="24741D97"/>
    <w:rsid w:val="24DE36B4"/>
    <w:rsid w:val="252A06A8"/>
    <w:rsid w:val="273D0B66"/>
    <w:rsid w:val="276F4A03"/>
    <w:rsid w:val="28B07116"/>
    <w:rsid w:val="28F96D0F"/>
    <w:rsid w:val="2A7C3754"/>
    <w:rsid w:val="2A8645D2"/>
    <w:rsid w:val="2A9A1E2C"/>
    <w:rsid w:val="2AAB4039"/>
    <w:rsid w:val="2B263AAA"/>
    <w:rsid w:val="2BB46F1D"/>
    <w:rsid w:val="2BE55328"/>
    <w:rsid w:val="2BF10171"/>
    <w:rsid w:val="2D12039F"/>
    <w:rsid w:val="2D666329"/>
    <w:rsid w:val="2DAF3E40"/>
    <w:rsid w:val="2EE03D76"/>
    <w:rsid w:val="2F155F25"/>
    <w:rsid w:val="2F9652B7"/>
    <w:rsid w:val="2FA15A0A"/>
    <w:rsid w:val="30204B81"/>
    <w:rsid w:val="302D38B1"/>
    <w:rsid w:val="305E56A9"/>
    <w:rsid w:val="3212128D"/>
    <w:rsid w:val="32C51A10"/>
    <w:rsid w:val="32CE2FBA"/>
    <w:rsid w:val="32F522F5"/>
    <w:rsid w:val="34C16DC2"/>
    <w:rsid w:val="35507CB7"/>
    <w:rsid w:val="35747E49"/>
    <w:rsid w:val="36323860"/>
    <w:rsid w:val="368C4D1E"/>
    <w:rsid w:val="36941E25"/>
    <w:rsid w:val="36CB4F71"/>
    <w:rsid w:val="394C2E8B"/>
    <w:rsid w:val="39AE31FE"/>
    <w:rsid w:val="3A4678DA"/>
    <w:rsid w:val="3A500759"/>
    <w:rsid w:val="3B133C60"/>
    <w:rsid w:val="3B2319C9"/>
    <w:rsid w:val="3B331C0C"/>
    <w:rsid w:val="3BAC7C11"/>
    <w:rsid w:val="3CCF005B"/>
    <w:rsid w:val="3CF67395"/>
    <w:rsid w:val="3D5F637E"/>
    <w:rsid w:val="3E004616"/>
    <w:rsid w:val="3E734A16"/>
    <w:rsid w:val="3F0A7128"/>
    <w:rsid w:val="3FD17C46"/>
    <w:rsid w:val="3FFC443E"/>
    <w:rsid w:val="4050500F"/>
    <w:rsid w:val="4066574C"/>
    <w:rsid w:val="40FE08A8"/>
    <w:rsid w:val="41FC2042"/>
    <w:rsid w:val="42116A20"/>
    <w:rsid w:val="42181B5C"/>
    <w:rsid w:val="43B6162D"/>
    <w:rsid w:val="43C57AC2"/>
    <w:rsid w:val="44C1472D"/>
    <w:rsid w:val="45637592"/>
    <w:rsid w:val="46341091"/>
    <w:rsid w:val="465C7799"/>
    <w:rsid w:val="46BC33FE"/>
    <w:rsid w:val="47721D0E"/>
    <w:rsid w:val="478D6B48"/>
    <w:rsid w:val="47C307BC"/>
    <w:rsid w:val="47D82755"/>
    <w:rsid w:val="47E50732"/>
    <w:rsid w:val="492B6619"/>
    <w:rsid w:val="4A2D7450"/>
    <w:rsid w:val="4A3D4856"/>
    <w:rsid w:val="4AC705C3"/>
    <w:rsid w:val="4AE90539"/>
    <w:rsid w:val="4BD44D46"/>
    <w:rsid w:val="4C2F6420"/>
    <w:rsid w:val="4CA010CC"/>
    <w:rsid w:val="4DC31516"/>
    <w:rsid w:val="4F90367A"/>
    <w:rsid w:val="50574197"/>
    <w:rsid w:val="51844B18"/>
    <w:rsid w:val="518A40F8"/>
    <w:rsid w:val="51AB2002"/>
    <w:rsid w:val="521A547C"/>
    <w:rsid w:val="52306A4E"/>
    <w:rsid w:val="52727066"/>
    <w:rsid w:val="532C0C79"/>
    <w:rsid w:val="55386FD6"/>
    <w:rsid w:val="554936C9"/>
    <w:rsid w:val="556D1505"/>
    <w:rsid w:val="55737D6D"/>
    <w:rsid w:val="55A51501"/>
    <w:rsid w:val="55CA0F67"/>
    <w:rsid w:val="55FD30EB"/>
    <w:rsid w:val="583F05FA"/>
    <w:rsid w:val="58DD0FB2"/>
    <w:rsid w:val="5D4D4958"/>
    <w:rsid w:val="5DE132F2"/>
    <w:rsid w:val="5E9071F2"/>
    <w:rsid w:val="61534507"/>
    <w:rsid w:val="61783F6D"/>
    <w:rsid w:val="61A30FEA"/>
    <w:rsid w:val="61CB0541"/>
    <w:rsid w:val="62876B1D"/>
    <w:rsid w:val="62EE2739"/>
    <w:rsid w:val="64740A1C"/>
    <w:rsid w:val="6567ECF6"/>
    <w:rsid w:val="659B6BC4"/>
    <w:rsid w:val="69D34437"/>
    <w:rsid w:val="6C6D2921"/>
    <w:rsid w:val="6F541B76"/>
    <w:rsid w:val="6F60676D"/>
    <w:rsid w:val="70912956"/>
    <w:rsid w:val="7104137A"/>
    <w:rsid w:val="7242215A"/>
    <w:rsid w:val="724539F8"/>
    <w:rsid w:val="72592BA9"/>
    <w:rsid w:val="73EF00BF"/>
    <w:rsid w:val="7476433D"/>
    <w:rsid w:val="74A7099A"/>
    <w:rsid w:val="74E03EAC"/>
    <w:rsid w:val="75B90985"/>
    <w:rsid w:val="764A782F"/>
    <w:rsid w:val="76AF7FDA"/>
    <w:rsid w:val="76C21ABB"/>
    <w:rsid w:val="775F37AE"/>
    <w:rsid w:val="77CA50CB"/>
    <w:rsid w:val="78E74BE4"/>
    <w:rsid w:val="797777F3"/>
    <w:rsid w:val="79C618C2"/>
    <w:rsid w:val="7A4D5B40"/>
    <w:rsid w:val="7AC027B5"/>
    <w:rsid w:val="7C0D5B5B"/>
    <w:rsid w:val="7C501917"/>
    <w:rsid w:val="7CB41EA6"/>
    <w:rsid w:val="7CFF3BDD"/>
    <w:rsid w:val="7E7E276B"/>
    <w:rsid w:val="7E7FA15B"/>
    <w:rsid w:val="7EE12CFA"/>
    <w:rsid w:val="7F480FCB"/>
    <w:rsid w:val="7F565496"/>
    <w:rsid w:val="7F6EFFCC"/>
    <w:rsid w:val="7FFF9162"/>
    <w:rsid w:val="9D6E38CB"/>
    <w:rsid w:val="E6F50C1C"/>
    <w:rsid w:val="E8FEB798"/>
    <w:rsid w:val="FDFF32F3"/>
    <w:rsid w:val="FE7FE901"/>
    <w:rsid w:val="FFD5F3F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2973</Words>
  <Characters>2992</Characters>
  <Lines>0</Lines>
  <Paragraphs>0</Paragraphs>
  <TotalTime>7</TotalTime>
  <ScaleCrop>false</ScaleCrop>
  <LinksUpToDate>false</LinksUpToDate>
  <CharactersWithSpaces>3003</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2023-02-13T07:35:00Z</dcterms:created>
  <dc:creator>Administrator</dc:creator>
  <cp:lastModifiedBy>huanghe</cp:lastModifiedBy>
  <cp:lastPrinted>2026-04-21T19:47:00Z</cp:lastPrinted>
  <dcterms:modified xsi:type="dcterms:W3CDTF">2026-04-24T09:18:33Z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ICV">
    <vt:lpwstr>BA105BA5ED834816AAC4B3A2A4DFE998_13</vt:lpwstr>
  </property>
  <property fmtid="{D5CDD505-2E9C-101B-9397-08002B2CF9AE}" pid="4" name="KSOTemplateDocerSaveRecord">
    <vt:lpwstr>eyJoZGlkIjoiYzAzMDI1MTNjNjFjZTFhNzFhY2I0YmM1NDUyZjkxZGUiLCJ1c2VySWQiOiI0MDU4NDIwODUifQ==</vt:lpwstr>
  </property>
</Properties>
</file>